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1A0B5" w14:textId="77777777" w:rsidR="002855F6" w:rsidRDefault="00000000">
      <w:pPr>
        <w:pStyle w:val="Title"/>
      </w:pPr>
      <w:r>
        <w:t>MODEL OPEN FISCAL DATA ACT</w:t>
      </w:r>
    </w:p>
    <w:p w14:paraId="73BF38FC" w14:textId="77777777" w:rsidR="002855F6" w:rsidRDefault="00000000">
      <w:pPr>
        <w:pStyle w:val="Subtitle"/>
      </w:pPr>
      <w:r>
        <w:t>A Formal Proposal for State-Level Adoption</w:t>
      </w:r>
      <w:r>
        <w:br/>
      </w:r>
    </w:p>
    <w:p w14:paraId="09FA17B5" w14:textId="77777777" w:rsidR="002855F6" w:rsidRDefault="00000000">
      <w:pPr>
        <w:jc w:val="center"/>
      </w:pPr>
      <w:r>
        <w:t>Prepared by: Aegis Analytics</w:t>
      </w:r>
      <w:r>
        <w:br/>
        <w:t>Date: August 2025</w:t>
      </w:r>
    </w:p>
    <w:p w14:paraId="5A6C2D7B" w14:textId="77777777" w:rsidR="002855F6" w:rsidRDefault="00000000">
      <w:r>
        <w:br w:type="page"/>
      </w:r>
    </w:p>
    <w:p w14:paraId="0319A067" w14:textId="77777777" w:rsidR="002855F6" w:rsidRDefault="00000000">
      <w:pPr>
        <w:pStyle w:val="Heading1"/>
      </w:pPr>
      <w:r>
        <w:lastRenderedPageBreak/>
        <w:t>Table of Contents</w:t>
      </w:r>
    </w:p>
    <w:p w14:paraId="092B454C" w14:textId="77777777" w:rsidR="002855F6" w:rsidRDefault="00000000">
      <w:r>
        <w:t>Executive Summary</w:t>
      </w:r>
    </w:p>
    <w:p w14:paraId="5C0E18BA" w14:textId="77777777" w:rsidR="002855F6" w:rsidRDefault="00000000">
      <w:r>
        <w:t>Policy Objectives</w:t>
      </w:r>
    </w:p>
    <w:p w14:paraId="23D7772C" w14:textId="77777777" w:rsidR="002855F6" w:rsidRDefault="00000000">
      <w:r>
        <w:t>Covered Datasets</w:t>
      </w:r>
    </w:p>
    <w:p w14:paraId="1C0394D9" w14:textId="77777777" w:rsidR="002855F6" w:rsidRDefault="00000000">
      <w:r>
        <w:t>Formats &amp; Schema</w:t>
      </w:r>
    </w:p>
    <w:p w14:paraId="507215B5" w14:textId="77777777" w:rsidR="002855F6" w:rsidRDefault="00000000">
      <w:r>
        <w:t>Safeguards and Mitigations</w:t>
      </w:r>
    </w:p>
    <w:p w14:paraId="43B7A888" w14:textId="77777777" w:rsidR="002855F6" w:rsidRDefault="00000000">
      <w:r>
        <w:t>Incentives &amp; Enforcement</w:t>
      </w:r>
    </w:p>
    <w:p w14:paraId="77C932D5" w14:textId="77777777" w:rsidR="002855F6" w:rsidRDefault="00000000">
      <w:r>
        <w:t>Benefits</w:t>
      </w:r>
    </w:p>
    <w:p w14:paraId="7CB015E1" w14:textId="77777777" w:rsidR="002855F6" w:rsidRDefault="00000000">
      <w:r>
        <w:t>Pilot Program</w:t>
      </w:r>
    </w:p>
    <w:p w14:paraId="0A44465D" w14:textId="77777777" w:rsidR="002855F6" w:rsidRDefault="00000000">
      <w:r>
        <w:t>Risks &amp; Mitigations</w:t>
      </w:r>
    </w:p>
    <w:p w14:paraId="784C075E" w14:textId="77777777" w:rsidR="002855F6" w:rsidRDefault="00000000">
      <w:r>
        <w:t>Areas for Consideration &amp; Challenges</w:t>
      </w:r>
    </w:p>
    <w:p w14:paraId="17C39A16" w14:textId="77777777" w:rsidR="002855F6" w:rsidRDefault="00000000">
      <w:r>
        <w:t>Detailed Budget &amp; Resource Requirements</w:t>
      </w:r>
    </w:p>
    <w:p w14:paraId="45FAF810" w14:textId="77777777" w:rsidR="002855F6" w:rsidRDefault="00000000">
      <w:r>
        <w:t>Five-Year Cost Projection</w:t>
      </w:r>
    </w:p>
    <w:p w14:paraId="480B4EE2" w14:textId="77777777" w:rsidR="002855F6" w:rsidRDefault="00000000">
      <w:r>
        <w:t>Return on Investment</w:t>
      </w:r>
    </w:p>
    <w:p w14:paraId="74DE2278" w14:textId="77777777" w:rsidR="002855F6" w:rsidRDefault="00000000">
      <w:r>
        <w:t>Phased Implementation Timeline</w:t>
      </w:r>
    </w:p>
    <w:p w14:paraId="08DD44CB" w14:textId="77777777" w:rsidR="002855F6" w:rsidRDefault="00000000">
      <w:r>
        <w:t>Key Personnel &amp; Project Leadership</w:t>
      </w:r>
    </w:p>
    <w:p w14:paraId="2BA4C224" w14:textId="77777777" w:rsidR="002855F6" w:rsidRDefault="00000000">
      <w:r>
        <w:t>Draft Legislative Text (Model Act)</w:t>
      </w:r>
    </w:p>
    <w:p w14:paraId="1A74331E" w14:textId="77777777" w:rsidR="002855F6" w:rsidRDefault="00000000">
      <w:r>
        <w:t>Legal Precedents &amp; Alignment</w:t>
      </w:r>
    </w:p>
    <w:p w14:paraId="76D9C2D0" w14:textId="77777777" w:rsidR="002855F6" w:rsidRDefault="00000000">
      <w:r>
        <w:t>Conclusion</w:t>
      </w:r>
    </w:p>
    <w:p w14:paraId="1B139941" w14:textId="77777777" w:rsidR="002855F6" w:rsidRDefault="00000000">
      <w:r>
        <w:br w:type="page"/>
      </w:r>
    </w:p>
    <w:p w14:paraId="59EB1779" w14:textId="77777777" w:rsidR="002855F6" w:rsidRDefault="00000000">
      <w:pPr>
        <w:pStyle w:val="Heading1"/>
      </w:pPr>
      <w:r>
        <w:lastRenderedPageBreak/>
        <w:t>Executive Summary</w:t>
      </w:r>
    </w:p>
    <w:p w14:paraId="2AF05406" w14:textId="77777777" w:rsidR="002855F6" w:rsidRDefault="00000000">
      <w:r>
        <w:t>This proposal establishes a Model Open Fiscal Data Act requiring standardized, machine-readable reporting of budgets, actuals, debt, grants, and contracts by state and local governments. It includes phased implementation, safeguards for security and privacy, compliance incentives, and long-term sustainability measures. The objective is to make public finance data accessible, comparable, and trustworthy, while ensuring that governments of all sizes can comply without undue burden.</w:t>
      </w:r>
    </w:p>
    <w:p w14:paraId="60D44691" w14:textId="77777777" w:rsidR="002855F6" w:rsidRDefault="00000000">
      <w:pPr>
        <w:pStyle w:val="Heading1"/>
      </w:pPr>
      <w:r>
        <w:t>Policy Objectives</w:t>
      </w:r>
    </w:p>
    <w:p w14:paraId="4AA40117" w14:textId="77777777" w:rsidR="002855F6" w:rsidRDefault="00000000">
      <w:r>
        <w:t>• Transparency &amp; Trust: Make financial data accessible to residents, media, and researchers.</w:t>
      </w:r>
      <w:r>
        <w:br/>
        <w:t>• Efficiency &amp; Innovation: Lower costs by eliminating redundant data cleaning.</w:t>
      </w:r>
      <w:r>
        <w:br/>
        <w:t>• Safety &amp; Equity: Ensure open data does not compromise security, personal privacy, or widen inequities.</w:t>
      </w:r>
      <w:r>
        <w:br/>
        <w:t>• Flexibility: Provide standardized structure but allow local adaptation.</w:t>
      </w:r>
    </w:p>
    <w:p w14:paraId="10CAB616" w14:textId="77777777" w:rsidR="002855F6" w:rsidRDefault="00000000">
      <w:pPr>
        <w:pStyle w:val="Heading1"/>
      </w:pPr>
      <w:r>
        <w:t>Covered Datasets</w:t>
      </w:r>
    </w:p>
    <w:p w14:paraId="4BB81E97" w14:textId="77777777" w:rsidR="002855F6" w:rsidRDefault="00000000">
      <w:r>
        <w:t>• Budgets (adopted + amendments)</w:t>
      </w:r>
      <w:r>
        <w:br/>
        <w:t>• Actual revenues/expenditures</w:t>
      </w:r>
      <w:r>
        <w:br/>
        <w:t>• Debt issuances &amp; schedules</w:t>
      </w:r>
      <w:r>
        <w:br/>
        <w:t>• Grants (incoming &amp; outgoing)</w:t>
      </w:r>
      <w:r>
        <w:br/>
        <w:t>• Procurement lifecycle (aligned with OCDS)</w:t>
      </w:r>
    </w:p>
    <w:p w14:paraId="717A7453" w14:textId="77777777" w:rsidR="002855F6" w:rsidRDefault="00000000">
      <w:pPr>
        <w:pStyle w:val="Heading1"/>
      </w:pPr>
      <w:r>
        <w:t>Formats &amp; Schema</w:t>
      </w:r>
    </w:p>
    <w:p w14:paraId="01CD7C75" w14:textId="77777777" w:rsidR="002855F6" w:rsidRDefault="00000000">
      <w:r>
        <w:t>• Machine-readable formats: CSV + JSON + REST API endpoints</w:t>
      </w:r>
      <w:r>
        <w:br/>
        <w:t>• Schema alignment:</w:t>
      </w:r>
      <w:r>
        <w:br/>
        <w:t xml:space="preserve">   - US Census finance codes (comparability)</w:t>
      </w:r>
      <w:r>
        <w:br/>
        <w:t xml:space="preserve">   - Treasury DAIMS / GSDM terms (federal alignment)</w:t>
      </w:r>
      <w:r>
        <w:br/>
        <w:t xml:space="preserve">   - OCDS for contracts</w:t>
      </w:r>
      <w:r>
        <w:br/>
        <w:t xml:space="preserve">   - DCAT-US metadata for discoverability</w:t>
      </w:r>
    </w:p>
    <w:p w14:paraId="432C41FC" w14:textId="77777777" w:rsidR="002855F6" w:rsidRDefault="00000000">
      <w:pPr>
        <w:pStyle w:val="Heading1"/>
      </w:pPr>
      <w:r>
        <w:t>Safeguards and Mitigations</w:t>
      </w:r>
    </w:p>
    <w:p w14:paraId="13EC4435" w14:textId="77777777" w:rsidR="002855F6" w:rsidRDefault="00000000">
      <w:r>
        <w:t>1. Security &amp; Privacy</w:t>
      </w:r>
      <w:r>
        <w:br/>
        <w:t>• Vendor redaction policy for sensitive defense/critical contracts.</w:t>
      </w:r>
      <w:r>
        <w:br/>
        <w:t>• Aggregate personnel data to protect employees.</w:t>
      </w:r>
      <w:r>
        <w:br/>
        <w:t>• Exempt line items that create vulnerability with public rationale.</w:t>
      </w:r>
      <w:r>
        <w:br/>
      </w:r>
      <w:r>
        <w:br/>
        <w:t>2. Political/Economic Misuse Mitigation</w:t>
      </w:r>
      <w:r>
        <w:br/>
        <w:t>• Require plain-language narrative budgets alongside machine-readable data.</w:t>
      </w:r>
      <w:r>
        <w:br/>
        <w:t>• Attach metadata disclaimers on limitations and accounting basis.</w:t>
      </w:r>
      <w:r>
        <w:br/>
      </w:r>
      <w:r>
        <w:lastRenderedPageBreak/>
        <w:t>• Delay release cadence for market-sensitive debt data to quarterly.</w:t>
      </w:r>
      <w:r>
        <w:br/>
      </w:r>
      <w:r>
        <w:br/>
        <w:t>3. Equity &amp; Access</w:t>
      </w:r>
      <w:r>
        <w:br/>
        <w:t>• Provide open-source ETL toolkits, templates, and hosting portals for small jurisdictions.</w:t>
      </w:r>
      <w:r>
        <w:br/>
        <w:t>• Offer micro-grants for onboarding.</w:t>
      </w:r>
      <w:r>
        <w:br/>
        <w:t>• Maintain public visualization dashboards.</w:t>
      </w:r>
      <w:r>
        <w:br/>
      </w:r>
      <w:r>
        <w:br/>
        <w:t>4. Governance &amp; Flexibility</w:t>
      </w:r>
      <w:r>
        <w:br/>
        <w:t>• Tiered compliance model (Budgets/Actuals → Debt/Grants → Contracts).</w:t>
      </w:r>
      <w:r>
        <w:br/>
        <w:t>• State Fiscal Data Standards Committee with annual schema review and public comment.</w:t>
      </w:r>
      <w:r>
        <w:br/>
        <w:t>• Opt-out clauses for sensitive jurisdictions (with sunset review).</w:t>
      </w:r>
    </w:p>
    <w:p w14:paraId="6A015FB2" w14:textId="77777777" w:rsidR="002855F6" w:rsidRDefault="00000000">
      <w:pPr>
        <w:pStyle w:val="Heading1"/>
      </w:pPr>
      <w:r>
        <w:t>Incentives &amp; Enforcement</w:t>
      </w:r>
    </w:p>
    <w:p w14:paraId="51C12394" w14:textId="77777777" w:rsidR="002855F6" w:rsidRDefault="00000000">
      <w:r>
        <w:t>• Carrots: compliance grants, technical support, recognition scorecards.</w:t>
      </w:r>
      <w:r>
        <w:br/>
        <w:t>• Sticks: tie eligibility for discretionary funds, publish noncompliance listings.</w:t>
      </w:r>
    </w:p>
    <w:p w14:paraId="797EBE87" w14:textId="77777777" w:rsidR="002855F6" w:rsidRDefault="00000000">
      <w:pPr>
        <w:pStyle w:val="Heading1"/>
      </w:pPr>
      <w:r>
        <w:t>Benefits</w:t>
      </w:r>
    </w:p>
    <w:p w14:paraId="0E60321D" w14:textId="77777777" w:rsidR="002855F6" w:rsidRDefault="00000000">
      <w:r>
        <w:t>• Public: Faster, clearer access to government spending.</w:t>
      </w:r>
      <w:r>
        <w:br/>
        <w:t>• Governments: Lower FOIA burden, improved credibility with bond markets.</w:t>
      </w:r>
      <w:r>
        <w:br/>
        <w:t>• Researchers/Media: Comparable datasets without costly cleanup.</w:t>
      </w:r>
      <w:r>
        <w:br/>
        <w:t>• Innovation Ecosystem: Stronger foundations for analysis and accountability.</w:t>
      </w:r>
    </w:p>
    <w:p w14:paraId="1B6F39C3" w14:textId="77777777" w:rsidR="002855F6" w:rsidRDefault="00000000">
      <w:pPr>
        <w:pStyle w:val="Heading1"/>
      </w:pPr>
      <w:r>
        <w:t>Pilot Program</w:t>
      </w:r>
    </w:p>
    <w:p w14:paraId="15079C4C" w14:textId="77777777" w:rsidR="002855F6" w:rsidRDefault="00000000">
      <w:r>
        <w:t>• Participants: 5 pilot cities + 1 state agency.</w:t>
      </w:r>
      <w:r>
        <w:br/>
        <w:t>• Timeline: 90 days for Tier 1; 6 months for Tier 2.</w:t>
      </w:r>
      <w:r>
        <w:br/>
        <w:t>• Evaluation: Data quality, compliance costs, public use metrics.</w:t>
      </w:r>
    </w:p>
    <w:p w14:paraId="6003DAC3" w14:textId="77777777" w:rsidR="002855F6" w:rsidRDefault="00000000">
      <w:pPr>
        <w:pStyle w:val="Heading1"/>
      </w:pPr>
      <w:r>
        <w:t>Risks &amp; Mitigations</w:t>
      </w:r>
    </w:p>
    <w:p w14:paraId="0EEC4BCD" w14:textId="77777777" w:rsidR="002855F6" w:rsidRDefault="00000000">
      <w:r>
        <w:t>1. Security</w:t>
      </w:r>
      <w:r>
        <w:br/>
        <w:t>Mitigation: Redaction policy + controlled cadence for sensitive disclosures.</w:t>
      </w:r>
      <w:r>
        <w:br/>
      </w:r>
      <w:r>
        <w:br/>
        <w:t>2. Privacy</w:t>
      </w:r>
      <w:r>
        <w:br/>
        <w:t>Mitigation: Aggregate personnel and sensitive vendor data.</w:t>
      </w:r>
      <w:r>
        <w:br/>
      </w:r>
      <w:r>
        <w:br/>
        <w:t>3. Political misuse</w:t>
      </w:r>
      <w:r>
        <w:br/>
        <w:t>Mitigation: Pair narrative budgets and attach metadata disclaimers.</w:t>
      </w:r>
      <w:r>
        <w:br/>
      </w:r>
      <w:r>
        <w:br/>
        <w:t>4. Equity</w:t>
      </w:r>
      <w:r>
        <w:br/>
        <w:t>Mitigation: Toolkits, grants, and visualization dashboards for accessibility.</w:t>
      </w:r>
      <w:r>
        <w:br/>
      </w:r>
      <w:r>
        <w:br/>
      </w:r>
      <w:r>
        <w:lastRenderedPageBreak/>
        <w:t>5. Flexibility</w:t>
      </w:r>
      <w:r>
        <w:br/>
        <w:t>Mitigation: Tiered compliance model and schema governance updates.</w:t>
      </w:r>
    </w:p>
    <w:p w14:paraId="1A24AC99" w14:textId="77777777" w:rsidR="002855F6" w:rsidRDefault="00000000">
      <w:pPr>
        <w:pStyle w:val="Heading1"/>
      </w:pPr>
      <w:r>
        <w:t>Areas for Consideration &amp; Challenges</w:t>
      </w:r>
    </w:p>
    <w:p w14:paraId="0BFE3B1C" w14:textId="77777777" w:rsidR="002855F6" w:rsidRDefault="00000000">
      <w:r>
        <w:t>Several areas require clear legislative definitions and sustainable practices to ensure the Act succeeds in practice:</w:t>
      </w:r>
      <w:r>
        <w:br/>
      </w:r>
      <w:r>
        <w:br/>
        <w:t>1. Defining 'Sensitive' Exemptions</w:t>
      </w:r>
      <w:r>
        <w:br/>
        <w:t>Risk: Overly broad definitions could hide controversial spending.</w:t>
      </w:r>
      <w:r>
        <w:br/>
        <w:t>Mitigation: Use statutory criteria, independent review panels, and sunset clauses.</w:t>
      </w:r>
      <w:r>
        <w:br/>
      </w:r>
      <w:r>
        <w:br/>
        <w:t>2. Enforcement Strength</w:t>
      </w:r>
      <w:r>
        <w:br/>
        <w:t>Risk: Some jurisdictions may resist without strong financial ties.</w:t>
      </w:r>
      <w:r>
        <w:br/>
        <w:t>Mitigation: Expand penalties to bond rating review, procurement approvals; citizen appeal mechanisms.</w:t>
      </w:r>
      <w:r>
        <w:br/>
      </w:r>
      <w:r>
        <w:br/>
        <w:t>3. Long-Term Maintenance</w:t>
      </w:r>
      <w:r>
        <w:br/>
        <w:t>Risk: Infrastructure degrades without permanent funding.</w:t>
      </w:r>
      <w:r>
        <w:br/>
        <w:t>Mitigation: Dedicated funding lines, shared services hosting, public-private partnerships, annual legislative reports.</w:t>
      </w:r>
      <w:r>
        <w:br/>
      </w:r>
      <w:r>
        <w:br/>
        <w:t>4. Malicious or Misleading Interpretation</w:t>
      </w:r>
      <w:r>
        <w:br/>
        <w:t>Risk: Bad actors could cherry-pick data to spread misinformation.</w:t>
      </w:r>
      <w:r>
        <w:br/>
        <w:t>Mitigation: Require contextual metadata, provide official rebuttal channels, and support civic education programs.</w:t>
      </w:r>
    </w:p>
    <w:p w14:paraId="332E4643" w14:textId="77777777" w:rsidR="002855F6" w:rsidRDefault="00000000">
      <w:pPr>
        <w:pStyle w:val="Heading1"/>
      </w:pPr>
      <w:r>
        <w:t>Detailed Budget &amp; Resource Requirements</w:t>
      </w:r>
    </w:p>
    <w:p w14:paraId="114A4ECF" w14:textId="77777777" w:rsidR="002855F6" w:rsidRDefault="00000000">
      <w:r>
        <w:t>• State-Level Administrative Costs: $3.5 million annually for Fiscal Data Standards Committee staffing, help desk, and portal maintenance.</w:t>
      </w:r>
      <w:r>
        <w:br/>
        <w:t>• Grant Program Funding: $5 million annually for compliance grants and micro-grants to small jurisdictions.</w:t>
      </w:r>
      <w:r>
        <w:br/>
        <w:t>• Infrastructure Costs: $2 million one-time for toolkit and portal development; $1 million recurring annually for hosting and updates.</w:t>
      </w:r>
      <w:r>
        <w:br/>
        <w:t>• Civic Education Funding: $500,000 annually to fund civic education and public interpretation programs.</w:t>
      </w:r>
    </w:p>
    <w:p w14:paraId="6ABE2633" w14:textId="77777777" w:rsidR="002855F6" w:rsidRDefault="00000000">
      <w:pPr>
        <w:pStyle w:val="Heading1"/>
      </w:pPr>
      <w:r>
        <w:t>Five-Year Cost Projection</w:t>
      </w:r>
    </w:p>
    <w:p w14:paraId="1BCC6BEA" w14:textId="77777777" w:rsidR="002855F6" w:rsidRDefault="00000000">
      <w:r>
        <w:t>The following table summarizes the estimated costs of the Model Open Fiscal Data Act over a five-year period. Year 1 includes higher costs due to one-time infrastructure development. Subsequent years reflect steady-state operations.</w:t>
      </w:r>
    </w:p>
    <w:tbl>
      <w:tblPr>
        <w:tblW w:w="0" w:type="auto"/>
        <w:tblLook w:val="04A0" w:firstRow="1" w:lastRow="0" w:firstColumn="1" w:lastColumn="0" w:noHBand="0" w:noVBand="1"/>
      </w:tblPr>
      <w:tblGrid>
        <w:gridCol w:w="1548"/>
        <w:gridCol w:w="1440"/>
        <w:gridCol w:w="1440"/>
        <w:gridCol w:w="1440"/>
        <w:gridCol w:w="1440"/>
        <w:gridCol w:w="1440"/>
      </w:tblGrid>
      <w:tr w:rsidR="002855F6" w14:paraId="5B0DB3B0" w14:textId="77777777">
        <w:tc>
          <w:tcPr>
            <w:tcW w:w="1440" w:type="dxa"/>
          </w:tcPr>
          <w:p w14:paraId="0C54AD61" w14:textId="77777777" w:rsidR="002855F6" w:rsidRDefault="00000000">
            <w:r>
              <w:lastRenderedPageBreak/>
              <w:t>Category</w:t>
            </w:r>
          </w:p>
        </w:tc>
        <w:tc>
          <w:tcPr>
            <w:tcW w:w="1440" w:type="dxa"/>
          </w:tcPr>
          <w:p w14:paraId="278C0CA6" w14:textId="77777777" w:rsidR="002855F6" w:rsidRDefault="00000000">
            <w:r>
              <w:t>Year 1</w:t>
            </w:r>
          </w:p>
        </w:tc>
        <w:tc>
          <w:tcPr>
            <w:tcW w:w="1440" w:type="dxa"/>
          </w:tcPr>
          <w:p w14:paraId="42CE0ECD" w14:textId="77777777" w:rsidR="002855F6" w:rsidRDefault="00000000">
            <w:r>
              <w:t>Year 2</w:t>
            </w:r>
          </w:p>
        </w:tc>
        <w:tc>
          <w:tcPr>
            <w:tcW w:w="1440" w:type="dxa"/>
          </w:tcPr>
          <w:p w14:paraId="761AA7C9" w14:textId="77777777" w:rsidR="002855F6" w:rsidRDefault="00000000">
            <w:r>
              <w:t>Year 3</w:t>
            </w:r>
          </w:p>
        </w:tc>
        <w:tc>
          <w:tcPr>
            <w:tcW w:w="1440" w:type="dxa"/>
          </w:tcPr>
          <w:p w14:paraId="77A3B7A3" w14:textId="77777777" w:rsidR="002855F6" w:rsidRDefault="00000000">
            <w:r>
              <w:t>Year 4</w:t>
            </w:r>
          </w:p>
        </w:tc>
        <w:tc>
          <w:tcPr>
            <w:tcW w:w="1440" w:type="dxa"/>
          </w:tcPr>
          <w:p w14:paraId="5EC8DE86" w14:textId="77777777" w:rsidR="002855F6" w:rsidRDefault="00000000">
            <w:r>
              <w:t>Year 5</w:t>
            </w:r>
          </w:p>
        </w:tc>
      </w:tr>
      <w:tr w:rsidR="002855F6" w14:paraId="0BE12726" w14:textId="77777777">
        <w:tc>
          <w:tcPr>
            <w:tcW w:w="1440" w:type="dxa"/>
          </w:tcPr>
          <w:p w14:paraId="37B34E31" w14:textId="77777777" w:rsidR="002855F6" w:rsidRDefault="00000000">
            <w:r>
              <w:t>Admin Costs</w:t>
            </w:r>
          </w:p>
        </w:tc>
        <w:tc>
          <w:tcPr>
            <w:tcW w:w="1440" w:type="dxa"/>
          </w:tcPr>
          <w:p w14:paraId="74CB6CD0" w14:textId="77777777" w:rsidR="002855F6" w:rsidRDefault="00000000">
            <w:r>
              <w:t>$3.5M</w:t>
            </w:r>
          </w:p>
        </w:tc>
        <w:tc>
          <w:tcPr>
            <w:tcW w:w="1440" w:type="dxa"/>
          </w:tcPr>
          <w:p w14:paraId="3B1A5E8D" w14:textId="77777777" w:rsidR="002855F6" w:rsidRDefault="00000000">
            <w:r>
              <w:t>$3.5M</w:t>
            </w:r>
          </w:p>
        </w:tc>
        <w:tc>
          <w:tcPr>
            <w:tcW w:w="1440" w:type="dxa"/>
          </w:tcPr>
          <w:p w14:paraId="7DAA0BC7" w14:textId="77777777" w:rsidR="002855F6" w:rsidRDefault="00000000">
            <w:r>
              <w:t>$3.5M</w:t>
            </w:r>
          </w:p>
        </w:tc>
        <w:tc>
          <w:tcPr>
            <w:tcW w:w="1440" w:type="dxa"/>
          </w:tcPr>
          <w:p w14:paraId="7F92D936" w14:textId="77777777" w:rsidR="002855F6" w:rsidRDefault="00000000">
            <w:r>
              <w:t>$3.5M</w:t>
            </w:r>
          </w:p>
        </w:tc>
        <w:tc>
          <w:tcPr>
            <w:tcW w:w="1440" w:type="dxa"/>
          </w:tcPr>
          <w:p w14:paraId="3FA3D9A3" w14:textId="77777777" w:rsidR="002855F6" w:rsidRDefault="00000000">
            <w:r>
              <w:t>$3.5M</w:t>
            </w:r>
          </w:p>
        </w:tc>
      </w:tr>
      <w:tr w:rsidR="002855F6" w14:paraId="751FC52C" w14:textId="77777777">
        <w:tc>
          <w:tcPr>
            <w:tcW w:w="1440" w:type="dxa"/>
          </w:tcPr>
          <w:p w14:paraId="57A7839E" w14:textId="77777777" w:rsidR="002855F6" w:rsidRDefault="00000000">
            <w:r>
              <w:t>Grants</w:t>
            </w:r>
          </w:p>
        </w:tc>
        <w:tc>
          <w:tcPr>
            <w:tcW w:w="1440" w:type="dxa"/>
          </w:tcPr>
          <w:p w14:paraId="507121AF" w14:textId="77777777" w:rsidR="002855F6" w:rsidRDefault="00000000">
            <w:r>
              <w:t>$5M</w:t>
            </w:r>
          </w:p>
        </w:tc>
        <w:tc>
          <w:tcPr>
            <w:tcW w:w="1440" w:type="dxa"/>
          </w:tcPr>
          <w:p w14:paraId="1F2615E3" w14:textId="77777777" w:rsidR="002855F6" w:rsidRDefault="00000000">
            <w:r>
              <w:t>$5M</w:t>
            </w:r>
          </w:p>
        </w:tc>
        <w:tc>
          <w:tcPr>
            <w:tcW w:w="1440" w:type="dxa"/>
          </w:tcPr>
          <w:p w14:paraId="13225ABE" w14:textId="77777777" w:rsidR="002855F6" w:rsidRDefault="00000000">
            <w:r>
              <w:t>$5M</w:t>
            </w:r>
          </w:p>
        </w:tc>
        <w:tc>
          <w:tcPr>
            <w:tcW w:w="1440" w:type="dxa"/>
          </w:tcPr>
          <w:p w14:paraId="27FFE41F" w14:textId="77777777" w:rsidR="002855F6" w:rsidRDefault="00000000">
            <w:r>
              <w:t>$5M</w:t>
            </w:r>
          </w:p>
        </w:tc>
        <w:tc>
          <w:tcPr>
            <w:tcW w:w="1440" w:type="dxa"/>
          </w:tcPr>
          <w:p w14:paraId="1EDF3C7A" w14:textId="77777777" w:rsidR="002855F6" w:rsidRDefault="00000000">
            <w:r>
              <w:t>$5M</w:t>
            </w:r>
          </w:p>
        </w:tc>
      </w:tr>
      <w:tr w:rsidR="002855F6" w14:paraId="5B7523BD" w14:textId="77777777">
        <w:tc>
          <w:tcPr>
            <w:tcW w:w="1440" w:type="dxa"/>
          </w:tcPr>
          <w:p w14:paraId="5EDC134E" w14:textId="77777777" w:rsidR="002855F6" w:rsidRDefault="00000000">
            <w:r>
              <w:t>Infrastructure</w:t>
            </w:r>
          </w:p>
        </w:tc>
        <w:tc>
          <w:tcPr>
            <w:tcW w:w="1440" w:type="dxa"/>
          </w:tcPr>
          <w:p w14:paraId="3BDD8DF3" w14:textId="77777777" w:rsidR="002855F6" w:rsidRDefault="00000000">
            <w:r>
              <w:t>$3M*</w:t>
            </w:r>
          </w:p>
        </w:tc>
        <w:tc>
          <w:tcPr>
            <w:tcW w:w="1440" w:type="dxa"/>
          </w:tcPr>
          <w:p w14:paraId="3D9B6B5C" w14:textId="77777777" w:rsidR="002855F6" w:rsidRDefault="00000000">
            <w:r>
              <w:t>$1M</w:t>
            </w:r>
          </w:p>
        </w:tc>
        <w:tc>
          <w:tcPr>
            <w:tcW w:w="1440" w:type="dxa"/>
          </w:tcPr>
          <w:p w14:paraId="0E727839" w14:textId="77777777" w:rsidR="002855F6" w:rsidRDefault="00000000">
            <w:r>
              <w:t>$1M</w:t>
            </w:r>
          </w:p>
        </w:tc>
        <w:tc>
          <w:tcPr>
            <w:tcW w:w="1440" w:type="dxa"/>
          </w:tcPr>
          <w:p w14:paraId="587AE757" w14:textId="77777777" w:rsidR="002855F6" w:rsidRDefault="00000000">
            <w:r>
              <w:t>$1M</w:t>
            </w:r>
          </w:p>
        </w:tc>
        <w:tc>
          <w:tcPr>
            <w:tcW w:w="1440" w:type="dxa"/>
          </w:tcPr>
          <w:p w14:paraId="7E09DD21" w14:textId="77777777" w:rsidR="002855F6" w:rsidRDefault="00000000">
            <w:r>
              <w:t>$1M</w:t>
            </w:r>
          </w:p>
        </w:tc>
      </w:tr>
      <w:tr w:rsidR="002855F6" w14:paraId="2C9D8B02" w14:textId="77777777">
        <w:tc>
          <w:tcPr>
            <w:tcW w:w="1440" w:type="dxa"/>
          </w:tcPr>
          <w:p w14:paraId="37E8E11A" w14:textId="77777777" w:rsidR="002855F6" w:rsidRDefault="00000000">
            <w:r>
              <w:t>Civic Education</w:t>
            </w:r>
          </w:p>
        </w:tc>
        <w:tc>
          <w:tcPr>
            <w:tcW w:w="1440" w:type="dxa"/>
          </w:tcPr>
          <w:p w14:paraId="7C107B4F" w14:textId="77777777" w:rsidR="002855F6" w:rsidRDefault="00000000">
            <w:r>
              <w:t>$0.5M</w:t>
            </w:r>
          </w:p>
        </w:tc>
        <w:tc>
          <w:tcPr>
            <w:tcW w:w="1440" w:type="dxa"/>
          </w:tcPr>
          <w:p w14:paraId="1F576FE0" w14:textId="77777777" w:rsidR="002855F6" w:rsidRDefault="00000000">
            <w:r>
              <w:t>$0.5M</w:t>
            </w:r>
          </w:p>
        </w:tc>
        <w:tc>
          <w:tcPr>
            <w:tcW w:w="1440" w:type="dxa"/>
          </w:tcPr>
          <w:p w14:paraId="786BA6AF" w14:textId="77777777" w:rsidR="002855F6" w:rsidRDefault="00000000">
            <w:r>
              <w:t>$0.5M</w:t>
            </w:r>
          </w:p>
        </w:tc>
        <w:tc>
          <w:tcPr>
            <w:tcW w:w="1440" w:type="dxa"/>
          </w:tcPr>
          <w:p w14:paraId="54E67E42" w14:textId="77777777" w:rsidR="002855F6" w:rsidRDefault="00000000">
            <w:r>
              <w:t>$0.5M</w:t>
            </w:r>
          </w:p>
        </w:tc>
        <w:tc>
          <w:tcPr>
            <w:tcW w:w="1440" w:type="dxa"/>
          </w:tcPr>
          <w:p w14:paraId="29869F64" w14:textId="77777777" w:rsidR="002855F6" w:rsidRDefault="00000000">
            <w:r>
              <w:t>$0.5M</w:t>
            </w:r>
          </w:p>
        </w:tc>
      </w:tr>
    </w:tbl>
    <w:p w14:paraId="32EA90BD" w14:textId="77777777" w:rsidR="002855F6" w:rsidRDefault="00000000">
      <w:r>
        <w:br/>
        <w:t>Total Five-Year Cost: $52 million (average $10.4M per year).</w:t>
      </w:r>
      <w:r>
        <w:br/>
      </w:r>
      <w:r>
        <w:br/>
        <w:t>*Note: Year 1 infrastructure includes $2M one-time setup plus $1M recurring annual cost.</w:t>
      </w:r>
    </w:p>
    <w:p w14:paraId="6BBF614C" w14:textId="77777777" w:rsidR="002855F6" w:rsidRDefault="00000000">
      <w:pPr>
        <w:pStyle w:val="Heading1"/>
      </w:pPr>
      <w:r>
        <w:t>Return on Investment</w:t>
      </w:r>
    </w:p>
    <w:p w14:paraId="28049B1E" w14:textId="77777777" w:rsidR="002855F6" w:rsidRDefault="00000000">
      <w:r>
        <w:t>The projected five-year cost of the Model Open Fiscal Data Act is $52 million, averaging just over $10 million annually. While this figure may seem significant in isolation, it represents a negligible share of state and local government spending. Combined state and local expenditures exceed $4 trillion annually, making the Act’s cost equal to less than 0.00025% of total spending.</w:t>
      </w:r>
    </w:p>
    <w:p w14:paraId="53BFA723" w14:textId="77777777" w:rsidR="002855F6" w:rsidRDefault="00000000">
      <w:r>
        <w:t>The return on this investment could be transformative:</w:t>
      </w:r>
      <w:r>
        <w:br/>
        <w:t>• Efficiency Gains: If improved fiscal data standards reduce waste or inefficiency by even 0.1%, the savings would equal roughly $4 billion annually — nearly 400 times the Act’s yearly cost.</w:t>
      </w:r>
      <w:r>
        <w:br/>
        <w:t>• Borrowing Costs: Cleaner, standardized reporting may improve bond ratings, reducing interest rates on state and municipal debt. A modest 2–3 basis point reduction would generate hundreds of millions in annual savings.</w:t>
      </w:r>
      <w:r>
        <w:br/>
        <w:t>• Staff Productivity: Less time spent cleaning or reformatting data for audits, FOIA requests, or federal reporting frees thousands of staff hours for higher-value activities.</w:t>
      </w:r>
      <w:r>
        <w:br/>
        <w:t>• Innovation Dividend: Standardized, open fiscal data empowers journalists, watchdogs, and researchers to generate insights and early warnings at low cost.</w:t>
      </w:r>
    </w:p>
    <w:p w14:paraId="7A7BD05D" w14:textId="77777777" w:rsidR="002855F6" w:rsidRDefault="00000000">
      <w:r>
        <w:t>In short, the Act is not only affordable — it is a foundational investment. By laying the groundwork for automation and analytics across the public sector, it creates the conditions for large-scale efficiency gains and public trust. This modest investment represents the first domino in unlocking billions of dollars in potential value.</w:t>
      </w:r>
    </w:p>
    <w:p w14:paraId="7AF57A24" w14:textId="77777777" w:rsidR="002855F6" w:rsidRDefault="00000000">
      <w:pPr>
        <w:pStyle w:val="Heading1"/>
      </w:pPr>
      <w:r>
        <w:t>Phased Implementation Timeline</w:t>
      </w:r>
    </w:p>
    <w:p w14:paraId="365BA8BF" w14:textId="77777777" w:rsidR="002855F6" w:rsidRDefault="00000000">
      <w:r>
        <w:t>Year 1: Pilot program, analyze results, refine toolkits, begin voluntary onboarding for Tier 1.</w:t>
      </w:r>
      <w:r>
        <w:br/>
        <w:t>Year 2: Mandate Tier 1 compliance for all jurisdictions; voluntary onboarding for Tier 2.</w:t>
      </w:r>
      <w:r>
        <w:br/>
        <w:t>Year 3: Mandate Tier 2 compliance; voluntary onboarding for Tier 3.</w:t>
      </w:r>
      <w:r>
        <w:br/>
      </w:r>
      <w:r>
        <w:lastRenderedPageBreak/>
        <w:t>Year 4: Mandate Tier 3 compliance; conduct first formal schema review with Standards Committee.</w:t>
      </w:r>
    </w:p>
    <w:p w14:paraId="75656FFD" w14:textId="77777777" w:rsidR="002855F6" w:rsidRDefault="00000000">
      <w:pPr>
        <w:pStyle w:val="Heading1"/>
      </w:pPr>
      <w:r>
        <w:t>Key Personnel &amp; Project Leadership</w:t>
      </w:r>
    </w:p>
    <w:p w14:paraId="4F863D7D" w14:textId="77777777" w:rsidR="002855F6" w:rsidRDefault="00000000">
      <w:r>
        <w:t>Project Sponsor: State CIO’s Office (with legislative backing).</w:t>
      </w:r>
      <w:r>
        <w:br/>
        <w:t>Project Manager: Appointed Open Fiscal Data Program Director under the State Controller.</w:t>
      </w:r>
      <w:r>
        <w:br/>
        <w:t>Stakeholders: Municipal Leagues, State Association of Counties, Good Government NGOs, University Research Centers, Civic Tech Groups.</w:t>
      </w:r>
    </w:p>
    <w:p w14:paraId="6BF1B28F" w14:textId="77777777" w:rsidR="002855F6" w:rsidRDefault="00000000">
      <w:pPr>
        <w:pStyle w:val="Heading1"/>
      </w:pPr>
      <w:r>
        <w:t>Draft Legislative Text (Model Act)</w:t>
      </w:r>
    </w:p>
    <w:p w14:paraId="325C0319" w14:textId="77777777" w:rsidR="002855F6" w:rsidRDefault="00000000">
      <w:r>
        <w:t>SECTION 1. PURPOSE. To increase transparency, comparability, and accountability in fiscal reporting.</w:t>
      </w:r>
      <w:r>
        <w:br/>
      </w:r>
      <w:r>
        <w:br/>
        <w:t>SECTION 2. REQUIREMENT. All state agencies, counties, municipalities, and school districts shall publish fiscal data in machine-readable formats (CSV/JSON), using the Fiscal Data Standards schema established by the State CIO.</w:t>
      </w:r>
      <w:r>
        <w:br/>
      </w:r>
      <w:r>
        <w:br/>
        <w:t>SECTION 3. SAFEGUARDS. Sensitive contracts and infrastructure expenditures may be exempted by the Standards Committee under published criteria with sunset clauses.</w:t>
      </w:r>
      <w:r>
        <w:br/>
      </w:r>
      <w:r>
        <w:br/>
        <w:t>SECTION 4. IMPLEMENTATION. Agencies must meet Tier 1 compliance within 2 years, Tier 2 compliance within 3 years, and Tier 3 compliance within 4 years.</w:t>
      </w:r>
      <w:r>
        <w:br/>
      </w:r>
      <w:r>
        <w:br/>
        <w:t>SECTION 5. FUNDING. The legislature shall appropriate funds annually for administration, grants, infrastructure, and civic education.</w:t>
      </w:r>
      <w:r>
        <w:br/>
      </w:r>
      <w:r>
        <w:br/>
        <w:t>SECTION 6. GOVERNANCE. A Fiscal Data Standards Committee shall oversee schema versioning, exemptions, and compliance reviews.</w:t>
      </w:r>
    </w:p>
    <w:p w14:paraId="23908334" w14:textId="77777777" w:rsidR="003576FB" w:rsidRDefault="003576FB"/>
    <w:p w14:paraId="3F62F86A" w14:textId="77777777" w:rsidR="003576FB" w:rsidRDefault="003576FB" w:rsidP="003576FB">
      <w:pPr>
        <w:pStyle w:val="Heading1"/>
      </w:pPr>
      <w:r>
        <w:t>Legal Precedents &amp; Alignment</w:t>
      </w:r>
    </w:p>
    <w:p w14:paraId="52E0CA61" w14:textId="77777777" w:rsidR="003576FB" w:rsidRDefault="003576FB" w:rsidP="003576FB">
      <w:r>
        <w:t>The Model Open Fiscal Data Act builds on important federal and international precedents, but extends them to the state and local levels where standardized, machine-readable fiscal reporting remains absent.</w:t>
      </w:r>
    </w:p>
    <w:p w14:paraId="14C0DD35" w14:textId="77777777" w:rsidR="003576FB" w:rsidRDefault="003576FB" w:rsidP="003576FB">
      <w:pPr>
        <w:pStyle w:val="Heading2"/>
      </w:pPr>
      <w:r>
        <w:t>Federal Precedents</w:t>
      </w:r>
    </w:p>
    <w:p w14:paraId="45F2F84B" w14:textId="77777777" w:rsidR="003576FB" w:rsidRDefault="003576FB" w:rsidP="003576FB">
      <w:r>
        <w:t>• Digital Accountability and Transparency Act (DATA Act, 2014): Established common data standards for federal agency spending data, made public through USAspending.gov. However, it applies only to federal agencies, not states or municipalities.</w:t>
      </w:r>
      <w:r>
        <w:br/>
      </w:r>
      <w:r>
        <w:br/>
      </w:r>
      <w:r>
        <w:lastRenderedPageBreak/>
        <w:t>• Open Government Data Act (2018): Requires federal agencies to publish datasets in machine-readable formats on data.gov, including financial and procurement data. Again, its scope does not cover state or local governments.</w:t>
      </w:r>
      <w:r>
        <w:br/>
      </w:r>
      <w:r>
        <w:br/>
        <w:t>• Financial Data Transparency Act (FDTA, 2022): Requires federal regulators to harmonize financial reporting data standards (including municipal issuers reporting through EMMA). While it improves transparency in capital markets, it does not compel standardized fiscal reporting by state and local governments.</w:t>
      </w:r>
    </w:p>
    <w:p w14:paraId="152C3E60" w14:textId="77777777" w:rsidR="003576FB" w:rsidRDefault="003576FB" w:rsidP="003576FB">
      <w:pPr>
        <w:pStyle w:val="Heading2"/>
      </w:pPr>
      <w:r>
        <w:t>State &amp; Academic Efforts</w:t>
      </w:r>
    </w:p>
    <w:p w14:paraId="5D619648" w14:textId="77777777" w:rsidR="003576FB" w:rsidRDefault="003576FB" w:rsidP="003576FB">
      <w:r>
        <w:t>• Michigan Pilot Study (University of Michigan, 2021): Proposed adopting XBRL-based open data standards for local government financial reporting, demonstrating feasibility and highlighting equity challenges.</w:t>
      </w:r>
      <w:r>
        <w:br/>
      </w:r>
      <w:r>
        <w:br/>
        <w:t>• International Efforts: The IMF Fiscal Transparency Code and the Global Initiative for Fiscal Transparency (GIFT) advocate standardized fiscal reporting globally, but focus on national-level governments.</w:t>
      </w:r>
    </w:p>
    <w:p w14:paraId="03CF24D9" w14:textId="77777777" w:rsidR="003576FB" w:rsidRDefault="003576FB" w:rsidP="003576FB">
      <w:pPr>
        <w:pStyle w:val="Heading2"/>
      </w:pPr>
      <w:r>
        <w:t>Why This Model Act is Different</w:t>
      </w:r>
    </w:p>
    <w:p w14:paraId="3CC54065" w14:textId="77777777" w:rsidR="003576FB" w:rsidRDefault="003576FB" w:rsidP="003576FB">
      <w:r>
        <w:t>Unlike existing laws and pilots, the Model Open Fiscal Data Act directly targets U.S. state and local governments. It establishes clear standards for budgets, actuals, grants, debt, and procurement reporting using open formats (CSV, JSON, APIs). The Act incorporates safeguards for privacy and security, phased compliance, equity provisions for smaller jurisdictions, and a statutory standards committee to ensure sustainability. This makes it the logical next frontier in fiscal transparency, building on federal precedent but addressing the critical gap at the subnational level.</w:t>
      </w:r>
    </w:p>
    <w:p w14:paraId="5B149347" w14:textId="77777777" w:rsidR="003576FB" w:rsidRDefault="003576FB"/>
    <w:p w14:paraId="0EEFA655" w14:textId="77777777" w:rsidR="002855F6" w:rsidRDefault="00000000">
      <w:pPr>
        <w:pStyle w:val="Heading1"/>
      </w:pPr>
      <w:r>
        <w:t>Conclusion</w:t>
      </w:r>
    </w:p>
    <w:p w14:paraId="1ACCD2F6" w14:textId="1C4E3581" w:rsidR="002855F6" w:rsidRDefault="00000000">
      <w:r>
        <w:t xml:space="preserve">The Model Open Fiscal Data Act will modernize state and local financial transparency, reducing costs and increasing public trust. With safeguards in place, it ensures both openness and security. </w:t>
      </w:r>
    </w:p>
    <w:sectPr w:rsidR="002855F6"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569802714">
    <w:abstractNumId w:val="8"/>
  </w:num>
  <w:num w:numId="2" w16cid:durableId="1243249533">
    <w:abstractNumId w:val="6"/>
  </w:num>
  <w:num w:numId="3" w16cid:durableId="190923287">
    <w:abstractNumId w:val="5"/>
  </w:num>
  <w:num w:numId="4" w16cid:durableId="1066611317">
    <w:abstractNumId w:val="4"/>
  </w:num>
  <w:num w:numId="5" w16cid:durableId="2120105823">
    <w:abstractNumId w:val="7"/>
  </w:num>
  <w:num w:numId="6" w16cid:durableId="372967919">
    <w:abstractNumId w:val="3"/>
  </w:num>
  <w:num w:numId="7" w16cid:durableId="360596849">
    <w:abstractNumId w:val="2"/>
  </w:num>
  <w:num w:numId="8" w16cid:durableId="1993676358">
    <w:abstractNumId w:val="1"/>
  </w:num>
  <w:num w:numId="9" w16cid:durableId="2037924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07B61"/>
    <w:rsid w:val="0015074B"/>
    <w:rsid w:val="001E50E7"/>
    <w:rsid w:val="002855F6"/>
    <w:rsid w:val="0029639D"/>
    <w:rsid w:val="00326F90"/>
    <w:rsid w:val="003576FB"/>
    <w:rsid w:val="006F5C5D"/>
    <w:rsid w:val="007831F0"/>
    <w:rsid w:val="00AA1D8D"/>
    <w:rsid w:val="00B47730"/>
    <w:rsid w:val="00CB0664"/>
    <w:rsid w:val="00D425B7"/>
    <w:rsid w:val="00F515B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1B9AE78"/>
  <w14:defaultImageDpi w14:val="300"/>
  <w15:docId w15:val="{2A3DA6B0-B77A-40F3-8C59-943B857E8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1E50E7"/>
    <w:rPr>
      <w:color w:val="0000FF" w:themeColor="hyperlink"/>
      <w:u w:val="single"/>
    </w:rPr>
  </w:style>
  <w:style w:type="character" w:styleId="UnresolvedMention">
    <w:name w:val="Unresolved Mention"/>
    <w:basedOn w:val="DefaultParagraphFont"/>
    <w:uiPriority w:val="99"/>
    <w:semiHidden/>
    <w:unhideWhenUsed/>
    <w:rsid w:val="001E50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1714</Words>
  <Characters>9776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11468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Zachary Fisher</cp:lastModifiedBy>
  <cp:revision>2</cp:revision>
  <dcterms:created xsi:type="dcterms:W3CDTF">2025-10-16T00:21:00Z</dcterms:created>
  <dcterms:modified xsi:type="dcterms:W3CDTF">2025-10-16T00:21:00Z</dcterms:modified>
  <cp:category/>
</cp:coreProperties>
</file>