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71B68" w14:textId="38E72D1D" w:rsidR="004818A5" w:rsidRDefault="00000000">
      <w:pPr>
        <w:pStyle w:val="Heading1"/>
      </w:pPr>
      <w:bookmarkStart w:id="0" w:name="X8da1a406c95e1dd58d9d17cf7c3483a235fb046"/>
      <w:r>
        <w:t>Policy Report — American Resilience and Opportunity Accord</w:t>
      </w:r>
    </w:p>
    <w:p w14:paraId="630368BA" w14:textId="369D3231" w:rsidR="004818A5" w:rsidRDefault="00000000">
      <w:pPr>
        <w:pStyle w:val="FirstParagraph"/>
      </w:pPr>
      <w:r>
        <w:rPr>
          <w:b/>
          <w:bCs/>
        </w:rPr>
        <w:t>Date:</w:t>
      </w:r>
      <w:r>
        <w:t xml:space="preserve"> </w:t>
      </w:r>
      <w:r w:rsidR="00115B74">
        <w:t>8/27/2025</w:t>
      </w:r>
      <w:r>
        <w:br/>
      </w:r>
      <w:r>
        <w:rPr>
          <w:b/>
          <w:bCs/>
        </w:rPr>
        <w:t>Prepared for:</w:t>
      </w:r>
      <w:r>
        <w:t xml:space="preserve"> Policymakers, industry leaders, labor organizations, and civic stakeholders</w:t>
      </w:r>
      <w:r>
        <w:br/>
      </w:r>
      <w:r>
        <w:rPr>
          <w:b/>
          <w:bCs/>
        </w:rPr>
        <w:t>Prepared by:</w:t>
      </w:r>
      <w:r>
        <w:t xml:space="preserve"> </w:t>
      </w:r>
      <w:r w:rsidR="00115B74">
        <w:t>Aegis Analytics</w:t>
      </w:r>
    </w:p>
    <w:p w14:paraId="14D5A2D5" w14:textId="77777777" w:rsidR="004818A5" w:rsidRDefault="004818A5"/>
    <w:p w14:paraId="62D47123" w14:textId="77777777" w:rsidR="004818A5" w:rsidRDefault="00000000">
      <w:pPr>
        <w:pStyle w:val="Heading2"/>
      </w:pPr>
      <w:bookmarkStart w:id="1" w:name="executive-summary"/>
      <w:r>
        <w:t>Executive Summary</w:t>
      </w:r>
    </w:p>
    <w:p w14:paraId="0B05288E" w14:textId="77777777" w:rsidR="004818A5" w:rsidRDefault="00000000">
      <w:pPr>
        <w:pStyle w:val="FirstParagraph"/>
      </w:pPr>
      <w:r>
        <w:t xml:space="preserve">Artificial Intelligence (AI) is rapidly automating corporate and management functions (planning, procurement, scheduling, compliance, reporting). Left to market forces alone, most gains will accrue to profits, with limited pass-through to prices or wages, and concentrated displacement among white-collar/admin workers (~1 in 10). The </w:t>
      </w:r>
      <w:r>
        <w:rPr>
          <w:b/>
          <w:bCs/>
        </w:rPr>
        <w:t>American Resilience and Opportunity Accord (AROA)</w:t>
      </w:r>
      <w:r>
        <w:t xml:space="preserve"> is a light-touch, incentive-driven framework that channels those gains to households and workers while preserving innovation and managerial flexibility.</w:t>
      </w:r>
    </w:p>
    <w:p w14:paraId="5FF18515" w14:textId="77777777" w:rsidR="004818A5" w:rsidRDefault="00000000">
      <w:pPr>
        <w:pStyle w:val="BodyText"/>
      </w:pPr>
      <w:r>
        <w:rPr>
          <w:b/>
          <w:bCs/>
        </w:rPr>
        <w:t>Core outcomes with good execution (5-year horizon):</w:t>
      </w:r>
      <w:r>
        <w:t xml:space="preserve"> - </w:t>
      </w:r>
      <w:r>
        <w:rPr>
          <w:b/>
          <w:bCs/>
        </w:rPr>
        <w:t>Prices:</w:t>
      </w:r>
      <w:r>
        <w:t xml:space="preserve"> cumulative </w:t>
      </w:r>
      <w:r>
        <w:rPr>
          <w:b/>
          <w:bCs/>
        </w:rPr>
        <w:t>3–8%</w:t>
      </w:r>
      <w:r>
        <w:t xml:space="preserve"> reduction vs. baseline as cost savings are rebated and competition intensifies. - </w:t>
      </w:r>
      <w:r>
        <w:rPr>
          <w:b/>
          <w:bCs/>
        </w:rPr>
        <w:t>Frontline wages:</w:t>
      </w:r>
      <w:r>
        <w:t xml:space="preserve"> sustained </w:t>
      </w:r>
      <w:r>
        <w:rPr>
          <w:b/>
          <w:bCs/>
        </w:rPr>
        <w:t>+5–10%</w:t>
      </w:r>
      <w:r>
        <w:t xml:space="preserve"> growth, supported by tax credits and stronger bargaining. - </w:t>
      </w:r>
      <w:r>
        <w:rPr>
          <w:b/>
          <w:bCs/>
        </w:rPr>
        <w:t>Employment:</w:t>
      </w:r>
      <w:r>
        <w:t xml:space="preserve"> temporary unemployment bump limited to </w:t>
      </w:r>
      <w:r>
        <w:rPr>
          <w:b/>
          <w:bCs/>
        </w:rPr>
        <w:t>+0.3–0.6 pp</w:t>
      </w:r>
      <w:r>
        <w:t xml:space="preserve"> with wage insurance and rapid redeployment; net job creation from SMB formation and public-service placements. - </w:t>
      </w:r>
      <w:r>
        <w:rPr>
          <w:b/>
          <w:bCs/>
        </w:rPr>
        <w:t>Growth &amp; productivity:</w:t>
      </w:r>
      <w:r>
        <w:t xml:space="preserve"> real GDP growth uplift </w:t>
      </w:r>
      <w:r>
        <w:rPr>
          <w:b/>
          <w:bCs/>
        </w:rPr>
        <w:t>+0.3–0.8 pp/year</w:t>
      </w:r>
      <w:r>
        <w:t xml:space="preserve"> from coordination/productivity gains and stronger real demand. - </w:t>
      </w:r>
      <w:r>
        <w:rPr>
          <w:b/>
          <w:bCs/>
        </w:rPr>
        <w:t>Equity:</w:t>
      </w:r>
      <w:r>
        <w:t xml:space="preserve"> measurable reduction in income inequality (gains flow to consumers &amp; lower/mid-wage workers).</w:t>
      </w:r>
    </w:p>
    <w:p w14:paraId="4F8B6AFE" w14:textId="77777777" w:rsidR="004818A5" w:rsidRDefault="00000000">
      <w:pPr>
        <w:pStyle w:val="BodyText"/>
      </w:pPr>
      <w:r>
        <w:rPr>
          <w:b/>
          <w:bCs/>
        </w:rPr>
        <w:t>Policy chassis:</w:t>
      </w:r>
      <w:r>
        <w:t xml:space="preserve"> 1) </w:t>
      </w:r>
      <w:r>
        <w:rPr>
          <w:b/>
          <w:bCs/>
        </w:rPr>
        <w:t>Broad-based funding</w:t>
      </w:r>
      <w:r>
        <w:t xml:space="preserve"> via a simple 0.5% corporate revenue levy (above a receipts threshold) or AI-compute tax → </w:t>
      </w:r>
      <w:r>
        <w:rPr>
          <w:b/>
          <w:bCs/>
        </w:rPr>
        <w:t>Universal Transition Accounts (UTAs)</w:t>
      </w:r>
      <w:r>
        <w:t xml:space="preserve"> for every worker. 2) </w:t>
      </w:r>
      <w:r>
        <w:rPr>
          <w:b/>
          <w:bCs/>
        </w:rPr>
        <w:t>Incentives, not mandates:</w:t>
      </w:r>
      <w:r>
        <w:t xml:space="preserve"> tiered tax credits for firms that raise frontline pay, issue consumer rebates/price cuts, share profits/equity, or contribute directly to UTAs. 3) </w:t>
      </w:r>
      <w:r>
        <w:rPr>
          <w:b/>
          <w:bCs/>
        </w:rPr>
        <w:t>Worker power:</w:t>
      </w:r>
      <w:r>
        <w:t xml:space="preserve"> union neutrality for large credit claimants and fast-track arbitration; encourage “automation dividend” clauses in bargaining. 4) </w:t>
      </w:r>
      <w:r>
        <w:rPr>
          <w:b/>
          <w:bCs/>
        </w:rPr>
        <w:t>Transparency:</w:t>
      </w:r>
      <w:r>
        <w:t xml:space="preserve"> annual public reporting; no fragile audits of firm-specific “efficiency savings.”</w:t>
      </w:r>
    </w:p>
    <w:p w14:paraId="32946F7C" w14:textId="77777777" w:rsidR="004818A5" w:rsidRDefault="00000000">
      <w:pPr>
        <w:pStyle w:val="BodyText"/>
      </w:pPr>
      <w:r>
        <w:rPr>
          <w:b/>
          <w:bCs/>
        </w:rPr>
        <w:t>Recommendation:</w:t>
      </w:r>
      <w:r>
        <w:t xml:space="preserve"> Adopt the AROA legislatively (model text provided in Appendix A) and launch a 12-month, multi-sector pilot producing the first </w:t>
      </w:r>
      <w:r>
        <w:rPr>
          <w:b/>
          <w:bCs/>
        </w:rPr>
        <w:t>Efficiency Dividend Reports</w:t>
      </w:r>
      <w:r>
        <w:t xml:space="preserve"> to build momentum and public trust.</w:t>
      </w:r>
    </w:p>
    <w:p w14:paraId="0385C064" w14:textId="77777777" w:rsidR="004818A5" w:rsidRDefault="004818A5"/>
    <w:p w14:paraId="3D3275B9" w14:textId="77777777" w:rsidR="004818A5" w:rsidRDefault="00000000">
      <w:pPr>
        <w:pStyle w:val="Heading2"/>
      </w:pPr>
      <w:bookmarkStart w:id="2" w:name="context-problem-statement"/>
      <w:bookmarkEnd w:id="1"/>
      <w:r>
        <w:lastRenderedPageBreak/>
        <w:t>1. Context &amp; Problem Statement</w:t>
      </w:r>
    </w:p>
    <w:p w14:paraId="53DB194A" w14:textId="77777777" w:rsidR="004818A5" w:rsidRDefault="00000000">
      <w:pPr>
        <w:pStyle w:val="Compact"/>
        <w:numPr>
          <w:ilvl w:val="0"/>
          <w:numId w:val="2"/>
        </w:numPr>
      </w:pPr>
      <w:r>
        <w:rPr>
          <w:b/>
          <w:bCs/>
        </w:rPr>
        <w:t>Technological inevitability:</w:t>
      </w:r>
      <w:r>
        <w:t xml:space="preserve"> Modern AI excels at precisely the work layers that dominate corporate overhead. Firms will adopt these tools to remain competitive.</w:t>
      </w:r>
    </w:p>
    <w:p w14:paraId="176618FB" w14:textId="77777777" w:rsidR="004818A5" w:rsidRDefault="00000000">
      <w:pPr>
        <w:pStyle w:val="Compact"/>
        <w:numPr>
          <w:ilvl w:val="0"/>
          <w:numId w:val="2"/>
        </w:numPr>
      </w:pPr>
      <w:r>
        <w:rPr>
          <w:b/>
          <w:bCs/>
        </w:rPr>
        <w:t>Distribution risk:</w:t>
      </w:r>
      <w:r>
        <w:t xml:space="preserve"> Without aligned incentives, most gains remain at the top as margin; consumers see limited price relief, and frontline wages lag. White-collar displacement risks political backlash and labor-market scarring.</w:t>
      </w:r>
    </w:p>
    <w:p w14:paraId="42D91AA4" w14:textId="77777777" w:rsidR="004818A5" w:rsidRDefault="00000000">
      <w:pPr>
        <w:pStyle w:val="Compact"/>
        <w:numPr>
          <w:ilvl w:val="0"/>
          <w:numId w:val="2"/>
        </w:numPr>
      </w:pPr>
      <w:r>
        <w:rPr>
          <w:b/>
          <w:bCs/>
        </w:rPr>
        <w:t>Policy design challenge:</w:t>
      </w:r>
      <w:r>
        <w:t xml:space="preserve"> Previous “command-and-control” ideas (mandated price pass-through, savings audits) are complex, easy to game, and politically fragile.</w:t>
      </w:r>
    </w:p>
    <w:p w14:paraId="1DDFEE08" w14:textId="77777777" w:rsidR="004818A5" w:rsidRDefault="00000000">
      <w:pPr>
        <w:pStyle w:val="FirstParagraph"/>
      </w:pPr>
      <w:r>
        <w:rPr>
          <w:b/>
          <w:bCs/>
        </w:rPr>
        <w:t>Goal:</w:t>
      </w:r>
      <w:r>
        <w:t xml:space="preserve"> Build a simple, scalable, market-compatible architecture that turns AI efficiency into broad-based prosperity while cushioning dislocation.</w:t>
      </w:r>
    </w:p>
    <w:p w14:paraId="32BB6453" w14:textId="77777777" w:rsidR="004818A5" w:rsidRDefault="004818A5"/>
    <w:p w14:paraId="5A049F90" w14:textId="77777777" w:rsidR="004818A5" w:rsidRDefault="00000000">
      <w:pPr>
        <w:pStyle w:val="Heading2"/>
      </w:pPr>
      <w:bookmarkStart w:id="3" w:name="Xedffa1f30531b9cb3cb08c089d22dfd1a8639ec"/>
      <w:bookmarkEnd w:id="2"/>
      <w:r>
        <w:t>2. Policy Architecture (American Resilience and Opportunity Accord)</w:t>
      </w:r>
    </w:p>
    <w:p w14:paraId="7E6A483A" w14:textId="77777777" w:rsidR="004818A5" w:rsidRDefault="00000000">
      <w:pPr>
        <w:pStyle w:val="Heading3"/>
      </w:pPr>
      <w:bookmarkStart w:id="4" w:name="X7d46e20b58dfd94273f1c6926527687c5147dd1"/>
      <w:r>
        <w:t>2.1 Broad-Based Funding → Universal Transition Accounts (UTAs)</w:t>
      </w:r>
    </w:p>
    <w:p w14:paraId="4E61CF02" w14:textId="77777777" w:rsidR="004818A5" w:rsidRDefault="00000000">
      <w:pPr>
        <w:pStyle w:val="Compact"/>
        <w:numPr>
          <w:ilvl w:val="0"/>
          <w:numId w:val="3"/>
        </w:numPr>
      </w:pPr>
      <w:r>
        <w:rPr>
          <w:b/>
          <w:bCs/>
        </w:rPr>
        <w:t>Mechanism:</w:t>
      </w:r>
      <w:r>
        <w:t xml:space="preserve"> A modest levy (e.g., </w:t>
      </w:r>
      <w:r>
        <w:rPr>
          <w:b/>
          <w:bCs/>
        </w:rPr>
        <w:t>0.5% of corporate gross receipts above $50M</w:t>
      </w:r>
      <w:r>
        <w:t xml:space="preserve">, or an AI-compute tax set by Treasury) flows into </w:t>
      </w:r>
      <w:r>
        <w:rPr>
          <w:b/>
          <w:bCs/>
        </w:rPr>
        <w:t>portable UTAs</w:t>
      </w:r>
      <w:r>
        <w:t xml:space="preserve"> for all workers.</w:t>
      </w:r>
    </w:p>
    <w:p w14:paraId="194F55F9" w14:textId="77777777" w:rsidR="004818A5" w:rsidRDefault="00000000">
      <w:pPr>
        <w:pStyle w:val="Compact"/>
        <w:numPr>
          <w:ilvl w:val="0"/>
          <w:numId w:val="3"/>
        </w:numPr>
      </w:pPr>
      <w:r>
        <w:rPr>
          <w:b/>
          <w:bCs/>
        </w:rPr>
        <w:t>Eligible uses:</w:t>
      </w:r>
      <w:r>
        <w:t xml:space="preserve"> wage insurance (up to </w:t>
      </w:r>
      <w:r>
        <w:rPr>
          <w:b/>
          <w:bCs/>
        </w:rPr>
        <w:t>$20k/year</w:t>
      </w:r>
      <w:r>
        <w:t xml:space="preserve"> for 2 years), accredited retraining, healthcare bridge (up to 6 months), and </w:t>
      </w:r>
      <w:r>
        <w:rPr>
          <w:b/>
          <w:bCs/>
        </w:rPr>
        <w:t>startup grants/loans up to $50k</w:t>
      </w:r>
      <w:r>
        <w:t>.</w:t>
      </w:r>
    </w:p>
    <w:p w14:paraId="13A1E78F" w14:textId="77777777" w:rsidR="004818A5" w:rsidRDefault="00000000">
      <w:pPr>
        <w:pStyle w:val="Compact"/>
        <w:numPr>
          <w:ilvl w:val="0"/>
          <w:numId w:val="3"/>
        </w:numPr>
      </w:pPr>
      <w:r>
        <w:rPr>
          <w:b/>
          <w:bCs/>
        </w:rPr>
        <w:t>Administration:</w:t>
      </w:r>
      <w:r>
        <w:t xml:space="preserve"> public–private financial institutions; worker-directed disbursement within defined categories.</w:t>
      </w:r>
    </w:p>
    <w:p w14:paraId="453D11F8" w14:textId="77777777" w:rsidR="004818A5" w:rsidRDefault="00000000">
      <w:pPr>
        <w:pStyle w:val="Heading3"/>
      </w:pPr>
      <w:bookmarkStart w:id="5" w:name="X003a592e98d0545cc58511a5ff5fad80be2bbb7"/>
      <w:bookmarkEnd w:id="4"/>
      <w:r>
        <w:t>2.2 Incentive Suite for Firms (Qualified Efficiency Actions, QEAs)</w:t>
      </w:r>
    </w:p>
    <w:p w14:paraId="52E739B3" w14:textId="77777777" w:rsidR="004818A5" w:rsidRDefault="00000000">
      <w:pPr>
        <w:pStyle w:val="Compact"/>
        <w:numPr>
          <w:ilvl w:val="0"/>
          <w:numId w:val="4"/>
        </w:numPr>
      </w:pPr>
      <w:r>
        <w:rPr>
          <w:b/>
          <w:bCs/>
        </w:rPr>
        <w:t>Tax credits</w:t>
      </w:r>
      <w:r>
        <w:t xml:space="preserve"> for:</w:t>
      </w:r>
    </w:p>
    <w:p w14:paraId="0B9D635E" w14:textId="77777777" w:rsidR="004818A5" w:rsidRDefault="00000000">
      <w:pPr>
        <w:pStyle w:val="Compact"/>
        <w:numPr>
          <w:ilvl w:val="1"/>
          <w:numId w:val="5"/>
        </w:numPr>
      </w:pPr>
      <w:r>
        <w:t xml:space="preserve">Frontline wage increases above inflation (e.g., </w:t>
      </w:r>
      <w:r>
        <w:rPr>
          <w:b/>
          <w:bCs/>
        </w:rPr>
        <w:t>20% credit</w:t>
      </w:r>
      <w:r>
        <w:t xml:space="preserve"> on incremental payroll).</w:t>
      </w:r>
    </w:p>
    <w:p w14:paraId="2FF9D0BC" w14:textId="77777777" w:rsidR="004818A5" w:rsidRDefault="00000000">
      <w:pPr>
        <w:pStyle w:val="Compact"/>
        <w:numPr>
          <w:ilvl w:val="1"/>
          <w:numId w:val="5"/>
        </w:numPr>
      </w:pPr>
      <w:r>
        <w:t xml:space="preserve">Consumer rebates/price cuts (e.g., </w:t>
      </w:r>
      <w:r>
        <w:rPr>
          <w:b/>
          <w:bCs/>
        </w:rPr>
        <w:t>20% credit</w:t>
      </w:r>
      <w:r>
        <w:t xml:space="preserve"> on verified rebates ≥2% of sales).</w:t>
      </w:r>
    </w:p>
    <w:p w14:paraId="1DC98FFF" w14:textId="77777777" w:rsidR="004818A5" w:rsidRDefault="00000000">
      <w:pPr>
        <w:pStyle w:val="Compact"/>
        <w:numPr>
          <w:ilvl w:val="1"/>
          <w:numId w:val="5"/>
        </w:numPr>
      </w:pPr>
      <w:r>
        <w:t>Profit-/equity-sharing with workers (</w:t>
      </w:r>
      <w:r>
        <w:rPr>
          <w:b/>
          <w:bCs/>
        </w:rPr>
        <w:t>25% credit</w:t>
      </w:r>
      <w:r>
        <w:t xml:space="preserve"> on distributions).</w:t>
      </w:r>
    </w:p>
    <w:p w14:paraId="58A5D8FD" w14:textId="77777777" w:rsidR="004818A5" w:rsidRDefault="00000000">
      <w:pPr>
        <w:pStyle w:val="Compact"/>
        <w:numPr>
          <w:ilvl w:val="1"/>
          <w:numId w:val="5"/>
        </w:numPr>
      </w:pPr>
      <w:r>
        <w:t>Employer UTA top-ups (</w:t>
      </w:r>
      <w:r>
        <w:rPr>
          <w:b/>
          <w:bCs/>
        </w:rPr>
        <w:t>30% credit</w:t>
      </w:r>
      <w:r>
        <w:t xml:space="preserve"> on contributions beyond statutory minimums).</w:t>
      </w:r>
    </w:p>
    <w:p w14:paraId="6D825A51" w14:textId="77777777" w:rsidR="004818A5" w:rsidRDefault="00000000">
      <w:pPr>
        <w:pStyle w:val="Compact"/>
        <w:numPr>
          <w:ilvl w:val="0"/>
          <w:numId w:val="4"/>
        </w:numPr>
      </w:pPr>
      <w:r>
        <w:rPr>
          <w:b/>
          <w:bCs/>
        </w:rPr>
        <w:t>Stacking cap:</w:t>
      </w:r>
      <w:r>
        <w:t xml:space="preserve"> credits may offset up to </w:t>
      </w:r>
      <w:r>
        <w:rPr>
          <w:b/>
          <w:bCs/>
        </w:rPr>
        <w:t>50%</w:t>
      </w:r>
      <w:r>
        <w:t xml:space="preserve"> of corporate income tax liability.</w:t>
      </w:r>
    </w:p>
    <w:p w14:paraId="3CCFD1A8" w14:textId="77777777" w:rsidR="004818A5" w:rsidRDefault="00000000">
      <w:pPr>
        <w:pStyle w:val="Heading3"/>
      </w:pPr>
      <w:bookmarkStart w:id="6" w:name="worker-power-fair-process"/>
      <w:bookmarkEnd w:id="5"/>
      <w:r>
        <w:t>2.3 Worker Power &amp; Fair Process</w:t>
      </w:r>
    </w:p>
    <w:p w14:paraId="0BAAFA2B" w14:textId="77777777" w:rsidR="004818A5" w:rsidRDefault="00000000">
      <w:pPr>
        <w:pStyle w:val="Compact"/>
        <w:numPr>
          <w:ilvl w:val="0"/>
          <w:numId w:val="6"/>
        </w:numPr>
      </w:pPr>
      <w:r>
        <w:rPr>
          <w:b/>
          <w:bCs/>
        </w:rPr>
        <w:t>Union neutrality</w:t>
      </w:r>
      <w:r>
        <w:t xml:space="preserve"> required for firms claiming &gt;$10M in annual credits.</w:t>
      </w:r>
    </w:p>
    <w:p w14:paraId="394BF8D2" w14:textId="77777777" w:rsidR="004818A5" w:rsidRDefault="00000000">
      <w:pPr>
        <w:pStyle w:val="Compact"/>
        <w:numPr>
          <w:ilvl w:val="0"/>
          <w:numId w:val="6"/>
        </w:numPr>
      </w:pPr>
      <w:r>
        <w:rPr>
          <w:b/>
          <w:bCs/>
        </w:rPr>
        <w:t>Fast-track arbitration</w:t>
      </w:r>
      <w:r>
        <w:t xml:space="preserve"> for automation-related disputes; encourage bargaining clauses that link AI adoption to dividends and protections.</w:t>
      </w:r>
    </w:p>
    <w:p w14:paraId="329568C8" w14:textId="77777777" w:rsidR="004818A5" w:rsidRDefault="00000000">
      <w:pPr>
        <w:pStyle w:val="Heading3"/>
      </w:pPr>
      <w:bookmarkStart w:id="7" w:name="transparency-oversight"/>
      <w:bookmarkEnd w:id="6"/>
      <w:r>
        <w:lastRenderedPageBreak/>
        <w:t>2.4 Transparency &amp; Oversight</w:t>
      </w:r>
    </w:p>
    <w:p w14:paraId="28E187FD" w14:textId="77777777" w:rsidR="004818A5" w:rsidRDefault="00000000">
      <w:pPr>
        <w:pStyle w:val="Compact"/>
        <w:numPr>
          <w:ilvl w:val="0"/>
          <w:numId w:val="7"/>
        </w:numPr>
      </w:pPr>
      <w:r>
        <w:rPr>
          <w:b/>
          <w:bCs/>
        </w:rPr>
        <w:t>Annual Efficiency Dividend Report</w:t>
      </w:r>
      <w:r>
        <w:t xml:space="preserve"> by Treasury: aggregate contributions, UTA flows, credits claimed, sectoral wage/price outcomes.</w:t>
      </w:r>
    </w:p>
    <w:p w14:paraId="6F2ACBC0" w14:textId="77777777" w:rsidR="004818A5" w:rsidRDefault="00000000">
      <w:pPr>
        <w:pStyle w:val="Compact"/>
        <w:numPr>
          <w:ilvl w:val="0"/>
          <w:numId w:val="7"/>
        </w:numPr>
      </w:pPr>
      <w:r>
        <w:rPr>
          <w:b/>
          <w:bCs/>
        </w:rPr>
        <w:t>Fraud focus:</w:t>
      </w:r>
      <w:r>
        <w:t xml:space="preserve"> enforce against false credit claims; </w:t>
      </w:r>
      <w:r>
        <w:rPr>
          <w:b/>
          <w:bCs/>
        </w:rPr>
        <w:t>no micro-audits</w:t>
      </w:r>
      <w:r>
        <w:t xml:space="preserve"> of firm-specific “savings.”</w:t>
      </w:r>
    </w:p>
    <w:p w14:paraId="57D77298" w14:textId="77777777" w:rsidR="004818A5" w:rsidRDefault="004818A5"/>
    <w:p w14:paraId="7F541625" w14:textId="77777777" w:rsidR="004818A5" w:rsidRDefault="00000000">
      <w:pPr>
        <w:pStyle w:val="Heading2"/>
      </w:pPr>
      <w:bookmarkStart w:id="8" w:name="economic-rationale-expected-impacts"/>
      <w:bookmarkEnd w:id="3"/>
      <w:bookmarkEnd w:id="7"/>
      <w:r>
        <w:t>3. Economic Rationale &amp; Expected Impacts</w:t>
      </w:r>
    </w:p>
    <w:p w14:paraId="57E27CFB" w14:textId="77777777" w:rsidR="004818A5" w:rsidRDefault="00000000">
      <w:pPr>
        <w:pStyle w:val="Heading3"/>
      </w:pPr>
      <w:bookmarkStart w:id="9" w:name="prices-inflation"/>
      <w:r>
        <w:t>3.1 Prices &amp; Inflation</w:t>
      </w:r>
    </w:p>
    <w:p w14:paraId="26E1869F" w14:textId="77777777" w:rsidR="004818A5" w:rsidRDefault="00000000">
      <w:pPr>
        <w:pStyle w:val="Compact"/>
        <w:numPr>
          <w:ilvl w:val="0"/>
          <w:numId w:val="8"/>
        </w:numPr>
      </w:pPr>
      <w:r>
        <w:rPr>
          <w:b/>
          <w:bCs/>
        </w:rPr>
        <w:t>Mechanism:</w:t>
      </w:r>
      <w:r>
        <w:t xml:space="preserve"> credits tied to rebates/price cuts reward pass-through; competition amplifies effects.</w:t>
      </w:r>
    </w:p>
    <w:p w14:paraId="34F648A5" w14:textId="77777777" w:rsidR="004818A5" w:rsidRDefault="00000000">
      <w:pPr>
        <w:pStyle w:val="Compact"/>
        <w:numPr>
          <w:ilvl w:val="0"/>
          <w:numId w:val="8"/>
        </w:numPr>
      </w:pPr>
      <w:r>
        <w:rPr>
          <w:b/>
          <w:bCs/>
        </w:rPr>
        <w:t>Outcome:</w:t>
      </w:r>
      <w:r>
        <w:t xml:space="preserve"> price-level decline </w:t>
      </w:r>
      <w:r>
        <w:rPr>
          <w:b/>
          <w:bCs/>
        </w:rPr>
        <w:t>3–8%</w:t>
      </w:r>
      <w:r>
        <w:t xml:space="preserve"> over 3 years in consumer-facing sectors; disinflation during rollout.</w:t>
      </w:r>
    </w:p>
    <w:p w14:paraId="674DB556" w14:textId="77777777" w:rsidR="004818A5" w:rsidRDefault="00000000">
      <w:pPr>
        <w:pStyle w:val="Heading3"/>
      </w:pPr>
      <w:bookmarkStart w:id="10" w:name="wages-employment"/>
      <w:bookmarkEnd w:id="9"/>
      <w:r>
        <w:t>3.2 Wages &amp; Employment</w:t>
      </w:r>
    </w:p>
    <w:p w14:paraId="2B328474" w14:textId="77777777" w:rsidR="004818A5" w:rsidRDefault="00000000">
      <w:pPr>
        <w:pStyle w:val="Compact"/>
        <w:numPr>
          <w:ilvl w:val="0"/>
          <w:numId w:val="9"/>
        </w:numPr>
      </w:pPr>
      <w:r>
        <w:rPr>
          <w:b/>
          <w:bCs/>
        </w:rPr>
        <w:t>Frontline:</w:t>
      </w:r>
      <w:r>
        <w:t xml:space="preserve"> sustained </w:t>
      </w:r>
      <w:r>
        <w:rPr>
          <w:b/>
          <w:bCs/>
        </w:rPr>
        <w:t>+5–10%</w:t>
      </w:r>
      <w:r>
        <w:t xml:space="preserve"> wage growth; better scheduling and benefits where bargaining is active.</w:t>
      </w:r>
    </w:p>
    <w:p w14:paraId="4C10124F" w14:textId="77777777" w:rsidR="004818A5" w:rsidRDefault="00000000">
      <w:pPr>
        <w:pStyle w:val="Compact"/>
        <w:numPr>
          <w:ilvl w:val="0"/>
          <w:numId w:val="9"/>
        </w:numPr>
      </w:pPr>
      <w:r>
        <w:rPr>
          <w:b/>
          <w:bCs/>
        </w:rPr>
        <w:t>Displacement:</w:t>
      </w:r>
      <w:r>
        <w:t xml:space="preserve"> concentrated in corporate/admin layers; with UTAs + wage insurance, peak unemployment +</w:t>
      </w:r>
      <w:r>
        <w:rPr>
          <w:b/>
          <w:bCs/>
        </w:rPr>
        <w:t>0.3–0.6 pp</w:t>
      </w:r>
      <w:r>
        <w:t xml:space="preserve"> vs. baseline; median re-employment goal </w:t>
      </w:r>
      <w:r>
        <w:rPr>
          <w:b/>
          <w:bCs/>
        </w:rPr>
        <w:t>&lt;60 days</w:t>
      </w:r>
      <w:r>
        <w:t>.</w:t>
      </w:r>
    </w:p>
    <w:p w14:paraId="1F9B3512" w14:textId="77777777" w:rsidR="004818A5" w:rsidRDefault="00000000">
      <w:pPr>
        <w:pStyle w:val="Heading3"/>
      </w:pPr>
      <w:bookmarkStart w:id="11" w:name="productivity-growth"/>
      <w:bookmarkEnd w:id="10"/>
      <w:r>
        <w:t>3.3 Productivity &amp; Growth</w:t>
      </w:r>
    </w:p>
    <w:p w14:paraId="204FBB3F" w14:textId="77777777" w:rsidR="004818A5" w:rsidRDefault="00000000">
      <w:pPr>
        <w:pStyle w:val="Compact"/>
        <w:numPr>
          <w:ilvl w:val="0"/>
          <w:numId w:val="10"/>
        </w:numPr>
      </w:pPr>
      <w:r>
        <w:rPr>
          <w:b/>
          <w:bCs/>
        </w:rPr>
        <w:t>Mechanism:</w:t>
      </w:r>
      <w:r>
        <w:t xml:space="preserve"> automation of coordination/administration, optimization in supply, finance, HR.</w:t>
      </w:r>
    </w:p>
    <w:p w14:paraId="2DCF3335" w14:textId="77777777" w:rsidR="004818A5" w:rsidRDefault="00000000">
      <w:pPr>
        <w:pStyle w:val="Compact"/>
        <w:numPr>
          <w:ilvl w:val="0"/>
          <w:numId w:val="10"/>
        </w:numPr>
      </w:pPr>
      <w:r>
        <w:rPr>
          <w:b/>
          <w:bCs/>
        </w:rPr>
        <w:t>Outcome:</w:t>
      </w:r>
      <w:r>
        <w:t xml:space="preserve"> real GDP growth +</w:t>
      </w:r>
      <w:r>
        <w:rPr>
          <w:b/>
          <w:bCs/>
        </w:rPr>
        <w:t>0.3–0.8 pp/year</w:t>
      </w:r>
      <w:r>
        <w:t xml:space="preserve"> for 3–5 years.</w:t>
      </w:r>
    </w:p>
    <w:p w14:paraId="00EC517F" w14:textId="77777777" w:rsidR="004818A5" w:rsidRDefault="00000000">
      <w:pPr>
        <w:pStyle w:val="Heading3"/>
      </w:pPr>
      <w:bookmarkStart w:id="12" w:name="inequality-household-finances"/>
      <w:bookmarkEnd w:id="11"/>
      <w:r>
        <w:t>3.4 Inequality &amp; Household Finances</w:t>
      </w:r>
    </w:p>
    <w:p w14:paraId="04FF356E" w14:textId="77777777" w:rsidR="004818A5" w:rsidRDefault="00000000">
      <w:pPr>
        <w:pStyle w:val="Compact"/>
        <w:numPr>
          <w:ilvl w:val="0"/>
          <w:numId w:val="11"/>
        </w:numPr>
      </w:pPr>
      <w:r>
        <w:rPr>
          <w:b/>
          <w:bCs/>
        </w:rPr>
        <w:t>Effect:</w:t>
      </w:r>
      <w:r>
        <w:t xml:space="preserve"> Gini modestly down; household real income up via cheaper essentials + frontline raises; reduced reliance on means-tested supports.</w:t>
      </w:r>
    </w:p>
    <w:p w14:paraId="4DB16A98" w14:textId="77777777" w:rsidR="004818A5" w:rsidRDefault="00000000">
      <w:pPr>
        <w:pStyle w:val="Heading3"/>
      </w:pPr>
      <w:bookmarkStart w:id="13" w:name="public-finances"/>
      <w:bookmarkEnd w:id="12"/>
      <w:r>
        <w:t>3.5 Public Finances</w:t>
      </w:r>
    </w:p>
    <w:p w14:paraId="2A531FF2" w14:textId="77777777" w:rsidR="004818A5" w:rsidRDefault="00000000">
      <w:pPr>
        <w:pStyle w:val="Compact"/>
        <w:numPr>
          <w:ilvl w:val="0"/>
          <w:numId w:val="12"/>
        </w:numPr>
      </w:pPr>
      <w:r>
        <w:rPr>
          <w:b/>
          <w:bCs/>
        </w:rPr>
        <w:t>Net:</w:t>
      </w:r>
      <w:r>
        <w:t xml:space="preserve"> near-neutral at scale—levy funds UTAs; credits reduce corporate tax take but are offset by higher taxable consumption and lower safety-net outlays.</w:t>
      </w:r>
    </w:p>
    <w:p w14:paraId="51FD4F85" w14:textId="77777777" w:rsidR="004818A5" w:rsidRDefault="004818A5"/>
    <w:p w14:paraId="7DE07B87" w14:textId="77777777" w:rsidR="004818A5" w:rsidRDefault="00000000">
      <w:pPr>
        <w:pStyle w:val="Heading2"/>
      </w:pPr>
      <w:bookmarkStart w:id="14" w:name="costbenefit-snapshot-u.s.-annualized"/>
      <w:bookmarkEnd w:id="8"/>
      <w:bookmarkEnd w:id="13"/>
      <w:r>
        <w:t>4. Cost–Benefit Snapshot (U.S., annualized)</w:t>
      </w:r>
    </w:p>
    <w:p w14:paraId="27EFDE8F" w14:textId="77777777" w:rsidR="004818A5" w:rsidRDefault="00000000">
      <w:pPr>
        <w:pStyle w:val="Compact"/>
        <w:numPr>
          <w:ilvl w:val="0"/>
          <w:numId w:val="13"/>
        </w:numPr>
      </w:pPr>
      <w:r>
        <w:rPr>
          <w:b/>
          <w:bCs/>
        </w:rPr>
        <w:t>Transition supports + admin:</w:t>
      </w:r>
      <w:r>
        <w:t xml:space="preserve"> </w:t>
      </w:r>
      <w:r>
        <w:rPr>
          <w:b/>
          <w:bCs/>
        </w:rPr>
        <w:t>$26–33B/year</w:t>
      </w:r>
      <w:r>
        <w:t xml:space="preserve"> (wage insurance, training, mobility, startup capital, oversight).</w:t>
      </w:r>
    </w:p>
    <w:p w14:paraId="3839D8CF" w14:textId="77777777" w:rsidR="004818A5" w:rsidRDefault="00000000">
      <w:pPr>
        <w:pStyle w:val="Compact"/>
        <w:numPr>
          <w:ilvl w:val="0"/>
          <w:numId w:val="13"/>
        </w:numPr>
      </w:pPr>
      <w:r>
        <w:rPr>
          <w:b/>
          <w:bCs/>
        </w:rPr>
        <w:t>Corporate overhead savings unlocked:</w:t>
      </w:r>
      <w:r>
        <w:t xml:space="preserve"> </w:t>
      </w:r>
      <w:r>
        <w:rPr>
          <w:b/>
          <w:bCs/>
        </w:rPr>
        <w:t>$2–3T/year</w:t>
      </w:r>
      <w:r>
        <w:t xml:space="preserve"> economy-wide.</w:t>
      </w:r>
    </w:p>
    <w:p w14:paraId="1E3F5445" w14:textId="77777777" w:rsidR="004818A5" w:rsidRDefault="00000000">
      <w:pPr>
        <w:pStyle w:val="Compact"/>
        <w:numPr>
          <w:ilvl w:val="0"/>
          <w:numId w:val="13"/>
        </w:numPr>
      </w:pPr>
      <w:r>
        <w:rPr>
          <w:b/>
          <w:bCs/>
        </w:rPr>
        <w:t>Frontline wage gains:</w:t>
      </w:r>
      <w:r>
        <w:t xml:space="preserve"> </w:t>
      </w:r>
      <w:r>
        <w:rPr>
          <w:b/>
          <w:bCs/>
        </w:rPr>
        <w:t>$100–200B/year</w:t>
      </w:r>
      <w:r>
        <w:t>.</w:t>
      </w:r>
    </w:p>
    <w:p w14:paraId="7E909116" w14:textId="77777777" w:rsidR="004818A5" w:rsidRDefault="00000000">
      <w:pPr>
        <w:pStyle w:val="Compact"/>
        <w:numPr>
          <w:ilvl w:val="0"/>
          <w:numId w:val="13"/>
        </w:numPr>
      </w:pPr>
      <w:r>
        <w:rPr>
          <w:b/>
          <w:bCs/>
        </w:rPr>
        <w:lastRenderedPageBreak/>
        <w:t>Consumer savings:</w:t>
      </w:r>
      <w:r>
        <w:t xml:space="preserve"> average household </w:t>
      </w:r>
      <w:r>
        <w:rPr>
          <w:b/>
          <w:bCs/>
        </w:rPr>
        <w:t>$6,500–$9,750/year</w:t>
      </w:r>
      <w:r>
        <w:t xml:space="preserve"> at full maturity.</w:t>
      </w:r>
    </w:p>
    <w:p w14:paraId="0B1AF7C6" w14:textId="77777777" w:rsidR="004818A5" w:rsidRDefault="00000000">
      <w:pPr>
        <w:pStyle w:val="Compact"/>
        <w:numPr>
          <w:ilvl w:val="0"/>
          <w:numId w:val="13"/>
        </w:numPr>
      </w:pPr>
      <w:r>
        <w:rPr>
          <w:b/>
          <w:bCs/>
        </w:rPr>
        <w:t>Ratio:</w:t>
      </w:r>
      <w:r>
        <w:t xml:space="preserve"> ~$1 implementation → </w:t>
      </w:r>
      <w:r>
        <w:rPr>
          <w:b/>
          <w:bCs/>
        </w:rPr>
        <w:t>$60–100</w:t>
      </w:r>
      <w:r>
        <w:t xml:space="preserve"> in societal benefit.</w:t>
      </w:r>
    </w:p>
    <w:p w14:paraId="24A0274C" w14:textId="77777777" w:rsidR="004818A5" w:rsidRDefault="004818A5"/>
    <w:p w14:paraId="2F104336" w14:textId="77777777" w:rsidR="004818A5" w:rsidRDefault="00000000">
      <w:pPr>
        <w:pStyle w:val="Heading2"/>
      </w:pPr>
      <w:bookmarkStart w:id="15" w:name="implementation-roadmap"/>
      <w:bookmarkEnd w:id="14"/>
      <w:r>
        <w:t>5. Implementation Roadmap</w:t>
      </w:r>
    </w:p>
    <w:p w14:paraId="1DEF35BA" w14:textId="77777777" w:rsidR="004818A5" w:rsidRDefault="00000000">
      <w:pPr>
        <w:pStyle w:val="Heading3"/>
      </w:pPr>
      <w:bookmarkStart w:id="16" w:name="X68fceb300676a393fb0c725ef46cdf2b5e2f585"/>
      <w:r>
        <w:t>5.1 12-Month Pilot (Flagship State or Multi-Firm Coalition)</w:t>
      </w:r>
    </w:p>
    <w:p w14:paraId="7CECE281" w14:textId="77777777" w:rsidR="004818A5" w:rsidRDefault="00000000">
      <w:pPr>
        <w:pStyle w:val="Compact"/>
        <w:numPr>
          <w:ilvl w:val="0"/>
          <w:numId w:val="14"/>
        </w:numPr>
      </w:pPr>
      <w:r>
        <w:rPr>
          <w:b/>
          <w:bCs/>
        </w:rPr>
        <w:t>Months 0–3:</w:t>
      </w:r>
      <w:r>
        <w:t xml:space="preserve"> Set levy and credit rules; stand up UTAs; select pilot sectors (retail/logistics/healthcare admin). Data plumbing and compliance templates.</w:t>
      </w:r>
    </w:p>
    <w:p w14:paraId="26BA6913" w14:textId="77777777" w:rsidR="004818A5" w:rsidRDefault="00000000">
      <w:pPr>
        <w:pStyle w:val="Compact"/>
        <w:numPr>
          <w:ilvl w:val="0"/>
          <w:numId w:val="14"/>
        </w:numPr>
      </w:pPr>
      <w:r>
        <w:rPr>
          <w:b/>
          <w:bCs/>
        </w:rPr>
        <w:t>Months 4–6:</w:t>
      </w:r>
      <w:r>
        <w:t xml:space="preserve"> Launch pilots in procurement &amp; scheduling; </w:t>
      </w:r>
      <w:r>
        <w:rPr>
          <w:b/>
          <w:bCs/>
        </w:rPr>
        <w:t>shadow → low-risk auto-execute</w:t>
      </w:r>
      <w:r>
        <w:t>; pre-file credits.</w:t>
      </w:r>
    </w:p>
    <w:p w14:paraId="585DBB44" w14:textId="77777777" w:rsidR="004818A5" w:rsidRDefault="00000000">
      <w:pPr>
        <w:pStyle w:val="Compact"/>
        <w:numPr>
          <w:ilvl w:val="0"/>
          <w:numId w:val="14"/>
        </w:numPr>
      </w:pPr>
      <w:r>
        <w:rPr>
          <w:b/>
          <w:bCs/>
        </w:rPr>
        <w:t>Months 7–9:</w:t>
      </w:r>
      <w:r>
        <w:t xml:space="preserve"> Begin frontline raises and consumer rebates; activate wage insurance for any displaced cohort; publish first </w:t>
      </w:r>
      <w:r>
        <w:rPr>
          <w:b/>
          <w:bCs/>
        </w:rPr>
        <w:t>Efficiency Dividend Certification</w:t>
      </w:r>
      <w:r>
        <w:t>.</w:t>
      </w:r>
    </w:p>
    <w:p w14:paraId="1EE616D7" w14:textId="77777777" w:rsidR="004818A5" w:rsidRDefault="00000000">
      <w:pPr>
        <w:pStyle w:val="Compact"/>
        <w:numPr>
          <w:ilvl w:val="0"/>
          <w:numId w:val="14"/>
        </w:numPr>
      </w:pPr>
      <w:r>
        <w:rPr>
          <w:b/>
          <w:bCs/>
        </w:rPr>
        <w:t>Months 10–12:</w:t>
      </w:r>
      <w:r>
        <w:t xml:space="preserve"> Release inaugural </w:t>
      </w:r>
      <w:r>
        <w:rPr>
          <w:b/>
          <w:bCs/>
        </w:rPr>
        <w:t>Efficiency Dividend Report</w:t>
      </w:r>
      <w:r>
        <w:t xml:space="preserve"> (price index, wage metrics, re-employment stats); recruit additional firms to reach </w:t>
      </w:r>
      <w:r>
        <w:rPr>
          <w:b/>
          <w:bCs/>
        </w:rPr>
        <w:t>≥30–40% sector coverage</w:t>
      </w:r>
      <w:r>
        <w:t>.</w:t>
      </w:r>
    </w:p>
    <w:p w14:paraId="7C070899" w14:textId="77777777" w:rsidR="004818A5" w:rsidRDefault="00000000">
      <w:pPr>
        <w:pStyle w:val="Heading3"/>
      </w:pPr>
      <w:bookmarkStart w:id="17" w:name="year-scale-up"/>
      <w:bookmarkEnd w:id="16"/>
      <w:r>
        <w:t>5.2 3–5 Year Scale-Up</w:t>
      </w:r>
    </w:p>
    <w:p w14:paraId="34E1D543" w14:textId="77777777" w:rsidR="004818A5" w:rsidRDefault="00000000">
      <w:pPr>
        <w:pStyle w:val="Compact"/>
        <w:numPr>
          <w:ilvl w:val="0"/>
          <w:numId w:val="15"/>
        </w:numPr>
      </w:pPr>
      <w:r>
        <w:t>Extend to finance/planning, compliance reporting; broaden sector coverage (finance, government admin). Establish regional venture funds for equitable access to startup capital.</w:t>
      </w:r>
    </w:p>
    <w:p w14:paraId="56BF3298" w14:textId="77777777" w:rsidR="004818A5" w:rsidRDefault="004818A5"/>
    <w:p w14:paraId="0004E776" w14:textId="77777777" w:rsidR="004818A5" w:rsidRDefault="00000000">
      <w:pPr>
        <w:pStyle w:val="Heading2"/>
      </w:pPr>
      <w:bookmarkStart w:id="18" w:name="governance-compliance-risk-management"/>
      <w:bookmarkEnd w:id="15"/>
      <w:bookmarkEnd w:id="17"/>
      <w:r>
        <w:t>6. Governance, Compliance &amp; Risk Management</w:t>
      </w:r>
    </w:p>
    <w:p w14:paraId="57303F1B" w14:textId="77777777" w:rsidR="004818A5" w:rsidRDefault="00000000">
      <w:pPr>
        <w:pStyle w:val="Compact"/>
        <w:numPr>
          <w:ilvl w:val="0"/>
          <w:numId w:val="16"/>
        </w:numPr>
      </w:pPr>
      <w:r>
        <w:rPr>
          <w:b/>
          <w:bCs/>
        </w:rPr>
        <w:t>Simple compliance:</w:t>
      </w:r>
      <w:r>
        <w:t xml:space="preserve"> Firms claim credits using payroll/rebate documentation; Treasury validates samples; penalties for fraud = repayment + </w:t>
      </w:r>
      <w:r>
        <w:rPr>
          <w:b/>
          <w:bCs/>
        </w:rPr>
        <w:t>200%</w:t>
      </w:r>
      <w:r>
        <w:t xml:space="preserve"> penalty and 3-year credit suspension.</w:t>
      </w:r>
    </w:p>
    <w:p w14:paraId="70F1D336" w14:textId="77777777" w:rsidR="004818A5" w:rsidRDefault="00000000">
      <w:pPr>
        <w:pStyle w:val="Compact"/>
        <w:numPr>
          <w:ilvl w:val="0"/>
          <w:numId w:val="16"/>
        </w:numPr>
      </w:pPr>
      <w:r>
        <w:rPr>
          <w:b/>
          <w:bCs/>
        </w:rPr>
        <w:t>Automation pacing:</w:t>
      </w:r>
      <w:r>
        <w:t xml:space="preserve"> public guidance encourages phased adoption; monitor sectoral unemployment to auto-adjust UTA allocations (counter-cyclical).</w:t>
      </w:r>
    </w:p>
    <w:p w14:paraId="0840B59B" w14:textId="77777777" w:rsidR="004818A5" w:rsidRDefault="00000000">
      <w:pPr>
        <w:pStyle w:val="Compact"/>
        <w:numPr>
          <w:ilvl w:val="0"/>
          <w:numId w:val="16"/>
        </w:numPr>
      </w:pPr>
      <w:r>
        <w:rPr>
          <w:b/>
          <w:bCs/>
        </w:rPr>
        <w:t>Price-collusion guardrails:</w:t>
      </w:r>
      <w:r>
        <w:t xml:space="preserve"> eligibility requires independent price-index disclosure; ban cross-retailer signaling.</w:t>
      </w:r>
    </w:p>
    <w:p w14:paraId="3583BFDE" w14:textId="77777777" w:rsidR="004818A5" w:rsidRDefault="00000000">
      <w:pPr>
        <w:pStyle w:val="Compact"/>
        <w:numPr>
          <w:ilvl w:val="0"/>
          <w:numId w:val="16"/>
        </w:numPr>
      </w:pPr>
      <w:r>
        <w:rPr>
          <w:b/>
          <w:bCs/>
        </w:rPr>
        <w:t>Bias &amp; fairness:</w:t>
      </w:r>
      <w:r>
        <w:t xml:space="preserve"> firms receiving credits must audit scheduling/performance algorithms; worker appeal windows with 30-day resolution targets.</w:t>
      </w:r>
    </w:p>
    <w:p w14:paraId="1A648935" w14:textId="77777777" w:rsidR="004818A5" w:rsidRDefault="004818A5"/>
    <w:p w14:paraId="1DF07CC4" w14:textId="77777777" w:rsidR="004818A5" w:rsidRDefault="00000000">
      <w:pPr>
        <w:pStyle w:val="Heading2"/>
      </w:pPr>
      <w:bookmarkStart w:id="19" w:name="equity-regional-design"/>
      <w:bookmarkEnd w:id="18"/>
      <w:r>
        <w:t>7. Equity &amp; Regional Design</w:t>
      </w:r>
    </w:p>
    <w:p w14:paraId="2DEF1BC2" w14:textId="77777777" w:rsidR="004818A5" w:rsidRDefault="00000000">
      <w:pPr>
        <w:pStyle w:val="Compact"/>
        <w:numPr>
          <w:ilvl w:val="0"/>
          <w:numId w:val="17"/>
        </w:numPr>
      </w:pPr>
      <w:r>
        <w:t xml:space="preserve">Allocate UTA funds and startup capital by </w:t>
      </w:r>
      <w:r>
        <w:rPr>
          <w:b/>
          <w:bCs/>
        </w:rPr>
        <w:t>displacement intensity</w:t>
      </w:r>
      <w:r>
        <w:t xml:space="preserve"> and </w:t>
      </w:r>
      <w:r>
        <w:rPr>
          <w:b/>
          <w:bCs/>
        </w:rPr>
        <w:t>regional need</w:t>
      </w:r>
      <w:r>
        <w:t xml:space="preserve"> (rural and non-metro earmarks ≥25%).</w:t>
      </w:r>
    </w:p>
    <w:p w14:paraId="4908AFED" w14:textId="77777777" w:rsidR="004818A5" w:rsidRDefault="00000000">
      <w:pPr>
        <w:pStyle w:val="Compact"/>
        <w:numPr>
          <w:ilvl w:val="0"/>
          <w:numId w:val="17"/>
        </w:numPr>
      </w:pPr>
      <w:r>
        <w:t>Prioritize training pipelines aligned with local shortages (healthcare support, skilled trades, public-sector digital service).</w:t>
      </w:r>
    </w:p>
    <w:p w14:paraId="6D51F7C1" w14:textId="77777777" w:rsidR="004818A5" w:rsidRDefault="004818A5"/>
    <w:p w14:paraId="7C9A8D16" w14:textId="77777777" w:rsidR="004818A5" w:rsidRDefault="00000000">
      <w:pPr>
        <w:pStyle w:val="Heading2"/>
      </w:pPr>
      <w:bookmarkStart w:id="20" w:name="stakeholder-impacts-incentives"/>
      <w:bookmarkEnd w:id="19"/>
      <w:r>
        <w:lastRenderedPageBreak/>
        <w:t>8. Stakeholder Impacts &amp; Incentives</w:t>
      </w:r>
    </w:p>
    <w:p w14:paraId="50238D70" w14:textId="77777777" w:rsidR="004818A5" w:rsidRDefault="00000000">
      <w:pPr>
        <w:pStyle w:val="Compact"/>
        <w:numPr>
          <w:ilvl w:val="0"/>
          <w:numId w:val="18"/>
        </w:numPr>
      </w:pPr>
      <w:r>
        <w:rPr>
          <w:b/>
          <w:bCs/>
        </w:rPr>
        <w:t>Consumers:</w:t>
      </w:r>
      <w:r>
        <w:t xml:space="preserve"> immediate rebates and visible price cuts (receipts show the “Efficiency Dividend”).</w:t>
      </w:r>
    </w:p>
    <w:p w14:paraId="7EF5D2AE" w14:textId="77777777" w:rsidR="004818A5" w:rsidRDefault="00000000">
      <w:pPr>
        <w:pStyle w:val="Compact"/>
        <w:numPr>
          <w:ilvl w:val="0"/>
          <w:numId w:val="18"/>
        </w:numPr>
      </w:pPr>
      <w:r>
        <w:rPr>
          <w:b/>
          <w:bCs/>
        </w:rPr>
        <w:t>Frontline workers:</w:t>
      </w:r>
      <w:r>
        <w:t xml:space="preserve"> itemized paycheck “Efficiency Bonus”; stronger bargaining and benefits.</w:t>
      </w:r>
    </w:p>
    <w:p w14:paraId="37A06AFA" w14:textId="77777777" w:rsidR="004818A5" w:rsidRDefault="00000000">
      <w:pPr>
        <w:pStyle w:val="Compact"/>
        <w:numPr>
          <w:ilvl w:val="0"/>
          <w:numId w:val="18"/>
        </w:numPr>
      </w:pPr>
      <w:r>
        <w:rPr>
          <w:b/>
          <w:bCs/>
        </w:rPr>
        <w:t>Displaced professionals:</w:t>
      </w:r>
      <w:r>
        <w:t xml:space="preserve"> rapid re-employment via UTAs; entrepreneurship pathways; prestige roles in AI governance.</w:t>
      </w:r>
    </w:p>
    <w:p w14:paraId="2034C5C6" w14:textId="77777777" w:rsidR="004818A5" w:rsidRDefault="00000000">
      <w:pPr>
        <w:pStyle w:val="Compact"/>
        <w:numPr>
          <w:ilvl w:val="0"/>
          <w:numId w:val="18"/>
        </w:numPr>
      </w:pPr>
      <w:r>
        <w:rPr>
          <w:b/>
          <w:bCs/>
        </w:rPr>
        <w:t>Businesses:</w:t>
      </w:r>
      <w:r>
        <w:t xml:space="preserve"> flexible compliance; tax relief for sharing; safe-harbor narrative with regulators, investors, and the public.</w:t>
      </w:r>
    </w:p>
    <w:p w14:paraId="23940550" w14:textId="77777777" w:rsidR="004818A5" w:rsidRDefault="004818A5"/>
    <w:p w14:paraId="009C9360" w14:textId="77777777" w:rsidR="004818A5" w:rsidRDefault="00000000">
      <w:pPr>
        <w:pStyle w:val="Heading2"/>
      </w:pPr>
      <w:bookmarkStart w:id="21" w:name="metrics-evaluation"/>
      <w:bookmarkEnd w:id="20"/>
      <w:r>
        <w:t>9. Metrics &amp; Evaluation</w:t>
      </w:r>
    </w:p>
    <w:p w14:paraId="11CE7E07" w14:textId="77777777" w:rsidR="004818A5" w:rsidRDefault="00000000">
      <w:pPr>
        <w:pStyle w:val="Compact"/>
        <w:numPr>
          <w:ilvl w:val="0"/>
          <w:numId w:val="19"/>
        </w:numPr>
      </w:pPr>
      <w:r>
        <w:rPr>
          <w:b/>
          <w:bCs/>
        </w:rPr>
        <w:t>Price index:</w:t>
      </w:r>
      <w:r>
        <w:t xml:space="preserve"> sectoral basket </w:t>
      </w:r>
      <w:r>
        <w:rPr>
          <w:b/>
          <w:bCs/>
        </w:rPr>
        <w:t>−3–8%</w:t>
      </w:r>
      <w:r>
        <w:t xml:space="preserve"> within 12–36 months.</w:t>
      </w:r>
    </w:p>
    <w:p w14:paraId="39C59635" w14:textId="77777777" w:rsidR="004818A5" w:rsidRDefault="00000000">
      <w:pPr>
        <w:pStyle w:val="Compact"/>
        <w:numPr>
          <w:ilvl w:val="0"/>
          <w:numId w:val="19"/>
        </w:numPr>
      </w:pPr>
      <w:r>
        <w:rPr>
          <w:b/>
          <w:bCs/>
        </w:rPr>
        <w:t>Frontline wages:</w:t>
      </w:r>
      <w:r>
        <w:t xml:space="preserve"> </w:t>
      </w:r>
      <w:r>
        <w:rPr>
          <w:b/>
          <w:bCs/>
        </w:rPr>
        <w:t>+5–10%</w:t>
      </w:r>
      <w:r>
        <w:t xml:space="preserve"> YoY in participating firms.</w:t>
      </w:r>
    </w:p>
    <w:p w14:paraId="6C202F0E" w14:textId="77777777" w:rsidR="004818A5" w:rsidRDefault="00000000">
      <w:pPr>
        <w:pStyle w:val="Compact"/>
        <w:numPr>
          <w:ilvl w:val="0"/>
          <w:numId w:val="19"/>
        </w:numPr>
      </w:pPr>
      <w:r>
        <w:rPr>
          <w:b/>
          <w:bCs/>
        </w:rPr>
        <w:t>Re-employment:</w:t>
      </w:r>
      <w:r>
        <w:t xml:space="preserve"> median &lt;</w:t>
      </w:r>
      <w:r>
        <w:rPr>
          <w:b/>
          <w:bCs/>
        </w:rPr>
        <w:t>60 days</w:t>
      </w:r>
      <w:r>
        <w:t xml:space="preserve">; </w:t>
      </w:r>
      <w:r>
        <w:rPr>
          <w:b/>
          <w:bCs/>
        </w:rPr>
        <w:t>≥70%</w:t>
      </w:r>
      <w:r>
        <w:t xml:space="preserve"> at equal/higher pay by month 6.</w:t>
      </w:r>
    </w:p>
    <w:p w14:paraId="29BA0C4C" w14:textId="77777777" w:rsidR="004818A5" w:rsidRDefault="00000000">
      <w:pPr>
        <w:pStyle w:val="Compact"/>
        <w:numPr>
          <w:ilvl w:val="0"/>
          <w:numId w:val="19"/>
        </w:numPr>
      </w:pPr>
      <w:r>
        <w:rPr>
          <w:b/>
          <w:bCs/>
        </w:rPr>
        <w:t>SMB formation:</w:t>
      </w:r>
      <w:r>
        <w:t xml:space="preserve"> </w:t>
      </w:r>
      <w:r>
        <w:rPr>
          <w:b/>
          <w:bCs/>
        </w:rPr>
        <w:t>+20–40%</w:t>
      </w:r>
      <w:r>
        <w:t xml:space="preserve"> in regions with heavy adoption; 2-year survival tracked.</w:t>
      </w:r>
    </w:p>
    <w:p w14:paraId="61767BC6" w14:textId="77777777" w:rsidR="004818A5" w:rsidRDefault="00000000">
      <w:pPr>
        <w:pStyle w:val="Compact"/>
        <w:numPr>
          <w:ilvl w:val="0"/>
          <w:numId w:val="19"/>
        </w:numPr>
      </w:pPr>
      <w:r>
        <w:rPr>
          <w:b/>
          <w:bCs/>
        </w:rPr>
        <w:t>Credit efficiency:</w:t>
      </w:r>
      <w:r>
        <w:t xml:space="preserve"> public scorecard—$ credits claimed → $ consumer rebates / payroll increases / UTA top-ups.</w:t>
      </w:r>
    </w:p>
    <w:p w14:paraId="197755AA" w14:textId="77777777" w:rsidR="004818A5" w:rsidRDefault="004818A5"/>
    <w:p w14:paraId="121E2278" w14:textId="77777777" w:rsidR="004818A5" w:rsidRDefault="00000000">
      <w:pPr>
        <w:pStyle w:val="Heading2"/>
      </w:pPr>
      <w:bookmarkStart w:id="22" w:name="worked-examples"/>
      <w:bookmarkEnd w:id="21"/>
      <w:r>
        <w:t>10. Worked Examples</w:t>
      </w:r>
    </w:p>
    <w:p w14:paraId="291D028D" w14:textId="77777777" w:rsidR="004818A5" w:rsidRDefault="00000000">
      <w:pPr>
        <w:pStyle w:val="Heading3"/>
      </w:pPr>
      <w:bookmarkStart w:id="23" w:name="b-retailer-50000-employees"/>
      <w:r>
        <w:t>10.1 $10B Retailer (50,000 employees)</w:t>
      </w:r>
    </w:p>
    <w:p w14:paraId="58F7B476" w14:textId="77777777" w:rsidR="004818A5" w:rsidRDefault="00000000">
      <w:pPr>
        <w:pStyle w:val="Compact"/>
        <w:numPr>
          <w:ilvl w:val="0"/>
          <w:numId w:val="20"/>
        </w:numPr>
      </w:pPr>
      <w:r>
        <w:rPr>
          <w:b/>
          <w:bCs/>
        </w:rPr>
        <w:t>Baseline:</w:t>
      </w:r>
      <w:r>
        <w:t xml:space="preserve"> SG&amp;A 25% ($2.5B). AI reduces corporate/admin by 30% → </w:t>
      </w:r>
      <w:r>
        <w:rPr>
          <w:b/>
          <w:bCs/>
        </w:rPr>
        <w:t>$750M</w:t>
      </w:r>
      <w:r>
        <w:t xml:space="preserve"> saved.</w:t>
      </w:r>
    </w:p>
    <w:p w14:paraId="31D2F985" w14:textId="77777777" w:rsidR="004818A5" w:rsidRDefault="00000000">
      <w:pPr>
        <w:pStyle w:val="Compact"/>
        <w:numPr>
          <w:ilvl w:val="0"/>
          <w:numId w:val="20"/>
        </w:numPr>
      </w:pPr>
      <w:r>
        <w:rPr>
          <w:b/>
          <w:bCs/>
        </w:rPr>
        <w:t>ADF/UTA funding:</w:t>
      </w:r>
      <w:r>
        <w:t xml:space="preserve"> greater of 5% of savings ($37.5M) or 0.5% of revenue ($50M) → </w:t>
      </w:r>
      <w:r>
        <w:rPr>
          <w:b/>
          <w:bCs/>
        </w:rPr>
        <w:t>$50M</w:t>
      </w:r>
      <w:r>
        <w:t>.</w:t>
      </w:r>
    </w:p>
    <w:p w14:paraId="05BB3751" w14:textId="77777777" w:rsidR="004818A5" w:rsidRDefault="00000000">
      <w:pPr>
        <w:pStyle w:val="Compact"/>
        <w:numPr>
          <w:ilvl w:val="0"/>
          <w:numId w:val="20"/>
        </w:numPr>
      </w:pPr>
      <w:r>
        <w:rPr>
          <w:b/>
          <w:bCs/>
        </w:rPr>
        <w:t>Redistribution (via credits):</w:t>
      </w:r>
      <w:r>
        <w:t xml:space="preserve"> $375M consumer rebates; $187.5M frontline raises (~</w:t>
      </w:r>
      <w:r>
        <w:rPr>
          <w:b/>
          <w:bCs/>
        </w:rPr>
        <w:t>$4,687</w:t>
      </w:r>
      <w:r>
        <w:t>/worker); $187.5M retained for R&amp;D. Transition supports ~</w:t>
      </w:r>
      <w:r>
        <w:rPr>
          <w:b/>
          <w:bCs/>
        </w:rPr>
        <w:t>$123M</w:t>
      </w:r>
      <w:r>
        <w:t xml:space="preserve"> covered via UTAs/credits.</w:t>
      </w:r>
    </w:p>
    <w:p w14:paraId="7A45C34A" w14:textId="77777777" w:rsidR="004818A5" w:rsidRDefault="00000000">
      <w:pPr>
        <w:pStyle w:val="Compact"/>
        <w:numPr>
          <w:ilvl w:val="0"/>
          <w:numId w:val="20"/>
        </w:numPr>
      </w:pPr>
      <w:r>
        <w:rPr>
          <w:b/>
          <w:bCs/>
        </w:rPr>
        <w:t>Outcome:</w:t>
      </w:r>
      <w:r>
        <w:t xml:space="preserve"> price index drops toward </w:t>
      </w:r>
      <w:r>
        <w:rPr>
          <w:b/>
          <w:bCs/>
        </w:rPr>
        <w:t>10–12%</w:t>
      </w:r>
      <w:r>
        <w:t xml:space="preserve"> over time; strong retention and traffic gains; margin stable/improved after credits.</w:t>
      </w:r>
    </w:p>
    <w:p w14:paraId="6161D5CF" w14:textId="77777777" w:rsidR="004818A5" w:rsidRDefault="00000000">
      <w:pPr>
        <w:pStyle w:val="Heading3"/>
      </w:pPr>
      <w:bookmarkStart w:id="24" w:name="healthcare-administration-network"/>
      <w:bookmarkEnd w:id="23"/>
      <w:r>
        <w:t>10.2 Healthcare Administration Network</w:t>
      </w:r>
    </w:p>
    <w:p w14:paraId="01543DA5" w14:textId="77777777" w:rsidR="004818A5" w:rsidRDefault="00000000">
      <w:pPr>
        <w:pStyle w:val="Compact"/>
        <w:numPr>
          <w:ilvl w:val="0"/>
          <w:numId w:val="21"/>
        </w:numPr>
      </w:pPr>
      <w:r>
        <w:rPr>
          <w:b/>
          <w:bCs/>
        </w:rPr>
        <w:t>Targets:</w:t>
      </w:r>
      <w:r>
        <w:t xml:space="preserve"> claims processing, prior authorization, scheduling, revenue cycle management.</w:t>
      </w:r>
    </w:p>
    <w:p w14:paraId="17CD9572" w14:textId="77777777" w:rsidR="004818A5" w:rsidRDefault="00000000">
      <w:pPr>
        <w:pStyle w:val="Compact"/>
        <w:numPr>
          <w:ilvl w:val="0"/>
          <w:numId w:val="21"/>
        </w:numPr>
      </w:pPr>
      <w:r>
        <w:rPr>
          <w:b/>
          <w:bCs/>
        </w:rPr>
        <w:t>Savings potential:</w:t>
      </w:r>
      <w:r>
        <w:t xml:space="preserve"> </w:t>
      </w:r>
      <w:r>
        <w:rPr>
          <w:b/>
          <w:bCs/>
        </w:rPr>
        <w:t>15–25%</w:t>
      </w:r>
      <w:r>
        <w:t xml:space="preserve"> of administrative spend. Credits favor passing gains into lower out-of-pocket costs and staff pay; UTAs fund redeployment into care coordination and clinical support roles.</w:t>
      </w:r>
    </w:p>
    <w:p w14:paraId="44EAFA3A" w14:textId="77777777" w:rsidR="004818A5" w:rsidRDefault="004818A5"/>
    <w:p w14:paraId="058E50D0" w14:textId="77777777" w:rsidR="004818A5" w:rsidRDefault="00000000">
      <w:pPr>
        <w:pStyle w:val="Heading2"/>
      </w:pPr>
      <w:bookmarkStart w:id="25" w:name="legislative-model-summary"/>
      <w:bookmarkEnd w:id="22"/>
      <w:bookmarkEnd w:id="24"/>
      <w:r>
        <w:lastRenderedPageBreak/>
        <w:t>11. Legislative Model (Summary)</w:t>
      </w:r>
    </w:p>
    <w:p w14:paraId="3FBEED2A" w14:textId="77777777" w:rsidR="004818A5" w:rsidRDefault="00000000">
      <w:pPr>
        <w:pStyle w:val="FirstParagraph"/>
      </w:pPr>
      <w:r>
        <w:t xml:space="preserve">See </w:t>
      </w:r>
      <w:r>
        <w:rPr>
          <w:b/>
          <w:bCs/>
        </w:rPr>
        <w:t>Appendix A</w:t>
      </w:r>
      <w:r>
        <w:t xml:space="preserve"> for the full “American Resilience and Opportunity Accord Act.” Key elements: revenue/compute levy → UTAs; tiered tax credits for QEAs; union neutrality; fast-track arbitration; annual reporting; fraud penalties.</w:t>
      </w:r>
    </w:p>
    <w:p w14:paraId="1A9D478A" w14:textId="77777777" w:rsidR="004818A5" w:rsidRDefault="004818A5"/>
    <w:p w14:paraId="1ECE4676" w14:textId="77777777" w:rsidR="004818A5" w:rsidRDefault="00000000">
      <w:pPr>
        <w:pStyle w:val="Heading2"/>
      </w:pPr>
      <w:bookmarkStart w:id="26" w:name="risks-mitigations"/>
      <w:bookmarkEnd w:id="25"/>
      <w:r>
        <w:t>12. Risks &amp; Mitigations</w:t>
      </w:r>
    </w:p>
    <w:p w14:paraId="6A71E1B9" w14:textId="77777777" w:rsidR="004818A5" w:rsidRDefault="00000000">
      <w:pPr>
        <w:pStyle w:val="FirstParagraph"/>
      </w:pPr>
      <w:r>
        <w:t>To ensure resilience across economic, legal, and operational dimensions, the plan identifies key risks and embeds concrete mitigations, owners, and triggers.</w:t>
      </w:r>
    </w:p>
    <w:p w14:paraId="2DED73A3" w14:textId="77777777" w:rsidR="004818A5" w:rsidRDefault="00000000">
      <w:pPr>
        <w:pStyle w:val="Heading3"/>
      </w:pPr>
      <w:bookmarkStart w:id="27" w:name="macroeconomic-price-dynamics"/>
      <w:r>
        <w:t>12.1 Macroeconomic &amp; Price Dynamics</w:t>
      </w:r>
    </w:p>
    <w:p w14:paraId="097A109B" w14:textId="77777777" w:rsidR="004818A5" w:rsidRDefault="00000000">
      <w:pPr>
        <w:pStyle w:val="FirstParagraph"/>
      </w:pPr>
      <w:r>
        <w:rPr>
          <w:b/>
          <w:bCs/>
        </w:rPr>
        <w:t>Risk:</w:t>
      </w:r>
      <w:r>
        <w:t xml:space="preserve"> Excessive pass‑through could tip sectors toward deflation or whipsaw pricing; too little pass‑through erodes public trust.</w:t>
      </w:r>
      <w:r>
        <w:br/>
      </w:r>
      <w:r>
        <w:rPr>
          <w:b/>
          <w:bCs/>
        </w:rPr>
        <w:t>Mitigations:</w:t>
      </w:r>
      <w:r>
        <w:t xml:space="preserve"> (a) Pace adoption with guidance and 3%/quarter automation caps; (b) tie credits to banded rebate targets (e.g., 2–8% of sales) rather than unlimited cuts; (c) publish sectoral price indices quarterly with automatic review if volatility &gt;2σ from baseline.</w:t>
      </w:r>
      <w:r>
        <w:br/>
      </w:r>
      <w:r>
        <w:rPr>
          <w:b/>
          <w:bCs/>
        </w:rPr>
        <w:t>Owner:</w:t>
      </w:r>
      <w:r>
        <w:t xml:space="preserve"> Treasury (indices), Council of Economic Advisers (policy pacing).</w:t>
      </w:r>
      <w:r>
        <w:br/>
      </w:r>
      <w:r>
        <w:rPr>
          <w:b/>
          <w:bCs/>
        </w:rPr>
        <w:t>Trigger:</w:t>
      </w:r>
      <w:r>
        <w:t xml:space="preserve"> CPI basket deviation &gt;1.5 pp from target or 2 consecutive quarters of negative sectoral price growth.</w:t>
      </w:r>
    </w:p>
    <w:p w14:paraId="2ADBBC5D" w14:textId="77777777" w:rsidR="004818A5" w:rsidRDefault="00000000">
      <w:pPr>
        <w:pStyle w:val="Heading3"/>
      </w:pPr>
      <w:bookmarkStart w:id="28" w:name="corporate-gaming-measurement-error"/>
      <w:bookmarkEnd w:id="27"/>
      <w:r>
        <w:t>12.2 Corporate Gaming &amp; Measurement Error</w:t>
      </w:r>
    </w:p>
    <w:p w14:paraId="4AD5FC26" w14:textId="77777777" w:rsidR="004818A5" w:rsidRDefault="00000000">
      <w:pPr>
        <w:pStyle w:val="FirstParagraph"/>
      </w:pPr>
      <w:r>
        <w:rPr>
          <w:b/>
          <w:bCs/>
        </w:rPr>
        <w:t>Risk:</w:t>
      </w:r>
      <w:r>
        <w:t xml:space="preserve"> Overstating rebates or wage deltas; misclassifying workers; double‑counting credits.</w:t>
      </w:r>
      <w:r>
        <w:br/>
      </w:r>
      <w:r>
        <w:rPr>
          <w:b/>
          <w:bCs/>
        </w:rPr>
        <w:t>Mitigations:</w:t>
      </w:r>
      <w:r>
        <w:t xml:space="preserve"> (a) Simple documentary tests (payroll, SKU‑level rebate files); (b) random audits; (c) fraud penalties = credit repayment + 200% penalty + 3‑year ineligibility; (d) standardized templates (Appendix C).</w:t>
      </w:r>
      <w:r>
        <w:br/>
      </w:r>
      <w:r>
        <w:rPr>
          <w:b/>
          <w:bCs/>
        </w:rPr>
        <w:t>Owner:</w:t>
      </w:r>
      <w:r>
        <w:t xml:space="preserve"> Treasury Inspector General.</w:t>
      </w:r>
      <w:r>
        <w:br/>
      </w:r>
      <w:r>
        <w:rPr>
          <w:b/>
          <w:bCs/>
        </w:rPr>
        <w:t>Trigger:</w:t>
      </w:r>
      <w:r>
        <w:t xml:space="preserve"> &gt;3% anomaly rate in sampled claims.</w:t>
      </w:r>
    </w:p>
    <w:p w14:paraId="0E3718C5" w14:textId="77777777" w:rsidR="004818A5" w:rsidRDefault="00000000">
      <w:pPr>
        <w:pStyle w:val="Heading3"/>
      </w:pPr>
      <w:bookmarkStart w:id="29" w:name="regional-disparities-community-impact"/>
      <w:bookmarkEnd w:id="28"/>
      <w:r>
        <w:t>12.3 Regional Disparities &amp; Community Impact</w:t>
      </w:r>
    </w:p>
    <w:p w14:paraId="72BE04AC" w14:textId="77777777" w:rsidR="004818A5" w:rsidRDefault="00000000">
      <w:pPr>
        <w:pStyle w:val="FirstParagraph"/>
      </w:pPr>
      <w:r>
        <w:rPr>
          <w:b/>
          <w:bCs/>
        </w:rPr>
        <w:t>Risk:</w:t>
      </w:r>
      <w:r>
        <w:t xml:space="preserve"> Displacement clusters in specific metros; rural areas under‑served by UTAs and startup capital.</w:t>
      </w:r>
      <w:r>
        <w:br/>
      </w:r>
      <w:r>
        <w:rPr>
          <w:b/>
          <w:bCs/>
        </w:rPr>
        <w:t>Mitigations:</w:t>
      </w:r>
      <w:r>
        <w:t xml:space="preserve"> (a) Formula allocation of UTA inflows by displacement intensity; (b) ≥25% earmark for non‑metro regions; (c) regional venture funds with local match; (d) targeted training to local shortage occupations.</w:t>
      </w:r>
      <w:r>
        <w:br/>
      </w:r>
      <w:r>
        <w:rPr>
          <w:b/>
          <w:bCs/>
        </w:rPr>
        <w:t>Owner:</w:t>
      </w:r>
      <w:r>
        <w:t xml:space="preserve"> DOL + State Workforce Boards.</w:t>
      </w:r>
      <w:r>
        <w:br/>
      </w:r>
      <w:r>
        <w:rPr>
          <w:b/>
          <w:bCs/>
        </w:rPr>
        <w:t>Trigger:</w:t>
      </w:r>
      <w:r>
        <w:t xml:space="preserve"> County unemployment +0.8 pp vs. national baseline for 2 quarters.</w:t>
      </w:r>
    </w:p>
    <w:p w14:paraId="7EC622C8" w14:textId="77777777" w:rsidR="004818A5" w:rsidRDefault="00000000">
      <w:pPr>
        <w:pStyle w:val="Heading3"/>
      </w:pPr>
      <w:bookmarkStart w:id="30" w:name="political-reversal-policy-durability"/>
      <w:bookmarkEnd w:id="29"/>
      <w:r>
        <w:t>12.4 Political Reversal &amp; Policy Durability</w:t>
      </w:r>
    </w:p>
    <w:p w14:paraId="12314CDE" w14:textId="77777777" w:rsidR="004818A5" w:rsidRDefault="00000000">
      <w:pPr>
        <w:pStyle w:val="FirstParagraph"/>
      </w:pPr>
      <w:r>
        <w:rPr>
          <w:b/>
          <w:bCs/>
        </w:rPr>
        <w:t>Risk:</w:t>
      </w:r>
      <w:r>
        <w:t xml:space="preserve"> A change in administration unwinds incentives before benefits are visible.</w:t>
      </w:r>
      <w:r>
        <w:br/>
      </w:r>
      <w:r>
        <w:rPr>
          <w:b/>
          <w:bCs/>
        </w:rPr>
        <w:t>Mitigations:</w:t>
      </w:r>
      <w:r>
        <w:t xml:space="preserve"> (a) Front‑load visible wins (receipts show rebates; paychecks show </w:t>
      </w:r>
      <w:r>
        <w:lastRenderedPageBreak/>
        <w:t>“Efficiency Bonus”); (b) sunset credits on a 5‑year rolling basis, requiring bipartisan renewal tied to KPI scorecard; (c) anchor private‑sector Early‑Adopter Coalition to sustain norms independent of statute.</w:t>
      </w:r>
      <w:r>
        <w:br/>
      </w:r>
      <w:r>
        <w:rPr>
          <w:b/>
          <w:bCs/>
        </w:rPr>
        <w:t>Owner:</w:t>
      </w:r>
      <w:r>
        <w:t xml:space="preserve"> Treasury + Governor/Mayor compacts.</w:t>
      </w:r>
      <w:r>
        <w:br/>
      </w:r>
      <w:r>
        <w:rPr>
          <w:b/>
          <w:bCs/>
        </w:rPr>
        <w:t>Trigger:</w:t>
      </w:r>
      <w:r>
        <w:t xml:space="preserve"> KPI misses in two consecutive reports;</w:t>
      </w:r>
    </w:p>
    <w:p w14:paraId="085E9E05" w14:textId="77777777" w:rsidR="004818A5" w:rsidRDefault="00000000">
      <w:pPr>
        <w:pStyle w:val="Heading3"/>
      </w:pPr>
      <w:bookmarkStart w:id="31" w:name="algorithmic-bias-workplace-fairness"/>
      <w:bookmarkEnd w:id="30"/>
      <w:r>
        <w:t>12.5 Algorithmic Bias &amp; Workplace Fairness</w:t>
      </w:r>
    </w:p>
    <w:p w14:paraId="30E0D03A" w14:textId="77777777" w:rsidR="004818A5" w:rsidRDefault="00000000">
      <w:pPr>
        <w:pStyle w:val="FirstParagraph"/>
      </w:pPr>
      <w:r>
        <w:rPr>
          <w:b/>
          <w:bCs/>
        </w:rPr>
        <w:t>Risk:</w:t>
      </w:r>
      <w:r>
        <w:t xml:space="preserve"> Scheduling, evaluation, or promotion tools propagate bias; morale and legal exposure rise.</w:t>
      </w:r>
      <w:r>
        <w:br/>
      </w:r>
      <w:r>
        <w:rPr>
          <w:b/>
          <w:bCs/>
        </w:rPr>
        <w:t>Mitigations:</w:t>
      </w:r>
      <w:r>
        <w:t xml:space="preserve"> (a) Mandatory bias testing and disparity metrics; (b) documented model cards and change logs; (c) worker appeal SLA ≤30 days; (d) corrective action plans required for continued credit eligibility.</w:t>
      </w:r>
      <w:r>
        <w:br/>
      </w:r>
      <w:r>
        <w:rPr>
          <w:b/>
          <w:bCs/>
        </w:rPr>
        <w:t>Owner:</w:t>
      </w:r>
      <w:r>
        <w:t xml:space="preserve"> DOL Civil Rights; internal Responsible AI leads.</w:t>
      </w:r>
      <w:r>
        <w:br/>
      </w:r>
      <w:r>
        <w:rPr>
          <w:b/>
          <w:bCs/>
        </w:rPr>
        <w:t>Trigger:</w:t>
      </w:r>
      <w:r>
        <w:t xml:space="preserve"> Statistically significant adverse impact ratios (&lt;0.8) in quarterly reports.</w:t>
      </w:r>
    </w:p>
    <w:p w14:paraId="3BA11391" w14:textId="77777777" w:rsidR="004818A5" w:rsidRDefault="00000000">
      <w:pPr>
        <w:pStyle w:val="Heading3"/>
      </w:pPr>
      <w:bookmarkStart w:id="32" w:name="price-collusion-antitrust"/>
      <w:bookmarkEnd w:id="31"/>
      <w:r>
        <w:t>12.6 Price Collusion &amp; Antitrust</w:t>
      </w:r>
    </w:p>
    <w:p w14:paraId="2D787AFE" w14:textId="77777777" w:rsidR="004818A5" w:rsidRDefault="00000000">
      <w:pPr>
        <w:pStyle w:val="FirstParagraph"/>
      </w:pPr>
      <w:r>
        <w:rPr>
          <w:b/>
          <w:bCs/>
        </w:rPr>
        <w:t>Risk:</w:t>
      </w:r>
      <w:r>
        <w:t xml:space="preserve"> Parallel algorithmic pricing reduces true competition.</w:t>
      </w:r>
      <w:r>
        <w:br/>
      </w:r>
      <w:r>
        <w:rPr>
          <w:b/>
          <w:bCs/>
        </w:rPr>
        <w:t>Mitigations:</w:t>
      </w:r>
      <w:r>
        <w:t xml:space="preserve"> (a) Require independent pricing indices for credit eligibility; (b) DOJ/FTC guidance on algorithmic collusion; (c) prohibit shared pricing signals via vendors; (d) safe‑harbor only for firms that meet transparency and compliance thresholds.</w:t>
      </w:r>
      <w:r>
        <w:br/>
      </w:r>
      <w:r>
        <w:rPr>
          <w:b/>
          <w:bCs/>
        </w:rPr>
        <w:t>Owner:</w:t>
      </w:r>
      <w:r>
        <w:t xml:space="preserve"> DOJ/FTC.</w:t>
      </w:r>
      <w:r>
        <w:br/>
      </w:r>
      <w:r>
        <w:rPr>
          <w:b/>
          <w:bCs/>
        </w:rPr>
        <w:t>Trigger:</w:t>
      </w:r>
      <w:r>
        <w:t xml:space="preserve"> Herfindahl‑Hirschman Index (HHI) spikes +500 or unusual price synchronicity across competitors.</w:t>
      </w:r>
    </w:p>
    <w:p w14:paraId="02132989" w14:textId="77777777" w:rsidR="004818A5" w:rsidRDefault="00000000">
      <w:pPr>
        <w:pStyle w:val="Heading3"/>
      </w:pPr>
      <w:bookmarkStart w:id="33" w:name="data-privacy-security"/>
      <w:bookmarkEnd w:id="32"/>
      <w:r>
        <w:t>12.7 Data Privacy &amp; Security</w:t>
      </w:r>
    </w:p>
    <w:p w14:paraId="342D1648" w14:textId="77777777" w:rsidR="004818A5" w:rsidRDefault="00000000">
      <w:pPr>
        <w:pStyle w:val="FirstParagraph"/>
      </w:pPr>
      <w:r>
        <w:rPr>
          <w:b/>
          <w:bCs/>
        </w:rPr>
        <w:t>Risk:</w:t>
      </w:r>
      <w:r>
        <w:t xml:space="preserve"> Breaches of payroll, health, or consumer rebate data; regulatory non‑compliance.</w:t>
      </w:r>
      <w:r>
        <w:br/>
      </w:r>
      <w:r>
        <w:rPr>
          <w:b/>
          <w:bCs/>
        </w:rPr>
        <w:t>Mitigations:</w:t>
      </w:r>
      <w:r>
        <w:t xml:space="preserve"> (a) DPIAs (data protection impact assessments) for all credits‑claiming programs; (b) encryption in transit/at rest; (c) least‑privilege access; (d) 72‑hour breach notice requirement; (e) third‑party SOC 2/ISO 27001 attestations for processors.</w:t>
      </w:r>
      <w:r>
        <w:br/>
      </w:r>
      <w:r>
        <w:rPr>
          <w:b/>
          <w:bCs/>
        </w:rPr>
        <w:t>Owner:</w:t>
      </w:r>
      <w:r>
        <w:t xml:space="preserve"> Company CISO; State AGs.</w:t>
      </w:r>
      <w:r>
        <w:br/>
      </w:r>
      <w:r>
        <w:rPr>
          <w:b/>
          <w:bCs/>
        </w:rPr>
        <w:t>Trigger:</w:t>
      </w:r>
      <w:r>
        <w:t xml:space="preserve"> Any notifiable breach or repeated critical findings in audits.</w:t>
      </w:r>
    </w:p>
    <w:p w14:paraId="40BC93C3" w14:textId="77777777" w:rsidR="004818A5" w:rsidRDefault="00000000">
      <w:pPr>
        <w:pStyle w:val="Heading3"/>
      </w:pPr>
      <w:bookmarkStart w:id="34" w:name="vendor-lockin-technical-debt"/>
      <w:bookmarkEnd w:id="33"/>
      <w:r>
        <w:t>12.8 Vendor Lock‑In &amp; Technical Debt</w:t>
      </w:r>
    </w:p>
    <w:p w14:paraId="1D7D74E3" w14:textId="77777777" w:rsidR="004818A5" w:rsidRDefault="00000000">
      <w:pPr>
        <w:pStyle w:val="FirstParagraph"/>
      </w:pPr>
      <w:r>
        <w:rPr>
          <w:b/>
          <w:bCs/>
        </w:rPr>
        <w:t>Risk:</w:t>
      </w:r>
      <w:r>
        <w:t xml:space="preserve"> Dependence on a single AI vendor/toolchain undermines portability and increases long‑run costs.</w:t>
      </w:r>
      <w:r>
        <w:br/>
      </w:r>
      <w:r>
        <w:rPr>
          <w:b/>
          <w:bCs/>
        </w:rPr>
        <w:t>Mitigations:</w:t>
      </w:r>
      <w:r>
        <w:t xml:space="preserve"> (a) Open standards for logs, prompts, and decisions; (b) exportable decision records; (c) multi‑vendor sourcing for critical paths; (d) termination‑assist clauses.</w:t>
      </w:r>
      <w:r>
        <w:br/>
      </w:r>
      <w:r>
        <w:rPr>
          <w:b/>
          <w:bCs/>
        </w:rPr>
        <w:t>Owner:</w:t>
      </w:r>
      <w:r>
        <w:t xml:space="preserve"> CIO/Procurement.</w:t>
      </w:r>
      <w:r>
        <w:br/>
      </w:r>
      <w:r>
        <w:rPr>
          <w:b/>
          <w:bCs/>
        </w:rPr>
        <w:t>Trigger:</w:t>
      </w:r>
      <w:r>
        <w:t xml:space="preserve"> Sole‑source exposure &gt;60% on mission‑critical workflows.</w:t>
      </w:r>
    </w:p>
    <w:p w14:paraId="70F9E228" w14:textId="77777777" w:rsidR="004818A5" w:rsidRDefault="00000000">
      <w:pPr>
        <w:pStyle w:val="Heading3"/>
      </w:pPr>
      <w:bookmarkStart w:id="35" w:name="administrative-capacity-program-friction"/>
      <w:bookmarkEnd w:id="34"/>
      <w:r>
        <w:lastRenderedPageBreak/>
        <w:t>12.9 Administrative Capacity &amp; Program Friction</w:t>
      </w:r>
    </w:p>
    <w:p w14:paraId="3D66137D" w14:textId="77777777" w:rsidR="004818A5" w:rsidRDefault="00000000">
      <w:pPr>
        <w:pStyle w:val="FirstParagraph"/>
      </w:pPr>
      <w:r>
        <w:rPr>
          <w:b/>
          <w:bCs/>
        </w:rPr>
        <w:t>Risk:</w:t>
      </w:r>
      <w:r>
        <w:t xml:space="preserve"> Slow benefit delivery; backlogs in UTAs, rebates, or arbitration.</w:t>
      </w:r>
      <w:r>
        <w:br/>
      </w:r>
      <w:r>
        <w:rPr>
          <w:b/>
          <w:bCs/>
        </w:rPr>
        <w:t>Mitigations:</w:t>
      </w:r>
      <w:r>
        <w:t xml:space="preserve"> (a) Use existing rails (IRS, UI) for disbursements; (b) automate intake with standard APIs; (c) service‑level targets (e.g., 95% of UTA claims paid &lt;14 days); (d) publish queue dashboards.</w:t>
      </w:r>
      <w:r>
        <w:br/>
      </w:r>
      <w:r>
        <w:rPr>
          <w:b/>
          <w:bCs/>
        </w:rPr>
        <w:t>Owner:</w:t>
      </w:r>
      <w:r>
        <w:t xml:space="preserve"> Treasury + DOL.</w:t>
      </w:r>
      <w:r>
        <w:br/>
      </w:r>
      <w:r>
        <w:rPr>
          <w:b/>
          <w:bCs/>
        </w:rPr>
        <w:t>Trigger:</w:t>
      </w:r>
      <w:r>
        <w:t xml:space="preserve"> SLA breach &gt;10% of cases for two months.</w:t>
      </w:r>
    </w:p>
    <w:p w14:paraId="10067F1A" w14:textId="77777777" w:rsidR="004818A5" w:rsidRDefault="00000000">
      <w:pPr>
        <w:pStyle w:val="Heading3"/>
      </w:pPr>
      <w:bookmarkStart w:id="36" w:name="labor-market-mismatch"/>
      <w:bookmarkEnd w:id="35"/>
      <w:r>
        <w:t>12.10 Labor Market Mismatch</w:t>
      </w:r>
    </w:p>
    <w:p w14:paraId="6446B001" w14:textId="77777777" w:rsidR="004818A5" w:rsidRDefault="00000000">
      <w:pPr>
        <w:pStyle w:val="FirstParagraph"/>
      </w:pPr>
      <w:r>
        <w:rPr>
          <w:b/>
          <w:bCs/>
        </w:rPr>
        <w:t>Risk:</w:t>
      </w:r>
      <w:r>
        <w:t xml:space="preserve"> Displaced professionals struggle to match into roles; prolonged search depresses demand.</w:t>
      </w:r>
      <w:r>
        <w:br/>
      </w:r>
      <w:r>
        <w:rPr>
          <w:b/>
          <w:bCs/>
        </w:rPr>
        <w:t>Mitigations:</w:t>
      </w:r>
      <w:r>
        <w:t xml:space="preserve"> (a) Wage insurance (50% gap, cap $20k/yr, 2 years); (b) train‑to‑hire cohorts with employer MOUs; (c) relocation/remote grants; (d) public‑sector fellowships.</w:t>
      </w:r>
      <w:r>
        <w:br/>
      </w:r>
      <w:r>
        <w:rPr>
          <w:b/>
          <w:bCs/>
        </w:rPr>
        <w:t>Owner:</w:t>
      </w:r>
      <w:r>
        <w:t xml:space="preserve"> DOL + Employers.</w:t>
      </w:r>
      <w:r>
        <w:br/>
      </w:r>
      <w:r>
        <w:rPr>
          <w:b/>
          <w:bCs/>
        </w:rPr>
        <w:t>Trigger:</w:t>
      </w:r>
      <w:r>
        <w:t xml:space="preserve"> Median re‑employment time &gt;60 days.</w:t>
      </w:r>
    </w:p>
    <w:p w14:paraId="06DB12F9" w14:textId="77777777" w:rsidR="004818A5" w:rsidRDefault="00000000">
      <w:pPr>
        <w:pStyle w:val="Heading3"/>
      </w:pPr>
      <w:bookmarkStart w:id="37" w:name="capital-markets-investor-reaction"/>
      <w:bookmarkEnd w:id="36"/>
      <w:r>
        <w:t>12.11 Capital Markets &amp; Investor Reaction</w:t>
      </w:r>
    </w:p>
    <w:p w14:paraId="1D73908F" w14:textId="77777777" w:rsidR="004818A5" w:rsidRDefault="00000000">
      <w:pPr>
        <w:pStyle w:val="FirstParagraph"/>
      </w:pPr>
      <w:r>
        <w:rPr>
          <w:b/>
          <w:bCs/>
        </w:rPr>
        <w:t>Risk:</w:t>
      </w:r>
      <w:r>
        <w:t xml:space="preserve"> Short‑term margin compression triggers sell‑offs that deter adoption.</w:t>
      </w:r>
      <w:r>
        <w:br/>
      </w:r>
      <w:r>
        <w:rPr>
          <w:b/>
          <w:bCs/>
        </w:rPr>
        <w:t>Mitigations:</w:t>
      </w:r>
      <w:r>
        <w:t xml:space="preserve"> (a) Clear guidance that credits offset sharing costs; (b) require firms to disclose dividend math in MD&amp;A; (c) promote Efficiency Dividend Certification as a brand and risk‑management asset.</w:t>
      </w:r>
      <w:r>
        <w:br/>
      </w:r>
      <w:r>
        <w:rPr>
          <w:b/>
          <w:bCs/>
        </w:rPr>
        <w:t>Owner:</w:t>
      </w:r>
      <w:r>
        <w:t xml:space="preserve"> SEC disclosure standards; IR teams.</w:t>
      </w:r>
      <w:r>
        <w:br/>
      </w:r>
      <w:r>
        <w:rPr>
          <w:b/>
          <w:bCs/>
        </w:rPr>
        <w:t>Trigger:</w:t>
      </w:r>
      <w:r>
        <w:t xml:space="preserve"> Sector multiple contractions on adoption announcements.</w:t>
      </w:r>
    </w:p>
    <w:p w14:paraId="757D76F7" w14:textId="77777777" w:rsidR="004818A5" w:rsidRDefault="00000000">
      <w:pPr>
        <w:pStyle w:val="Heading3"/>
      </w:pPr>
      <w:bookmarkStart w:id="38" w:name="international-arbitrage"/>
      <w:bookmarkEnd w:id="37"/>
      <w:r>
        <w:t>12.12 International Arbitrage</w:t>
      </w:r>
    </w:p>
    <w:p w14:paraId="6949EAB2" w14:textId="77777777" w:rsidR="004818A5" w:rsidRDefault="00000000">
      <w:pPr>
        <w:pStyle w:val="FirstParagraph"/>
      </w:pPr>
      <w:r>
        <w:rPr>
          <w:b/>
          <w:bCs/>
        </w:rPr>
        <w:t>Risk:</w:t>
      </w:r>
      <w:r>
        <w:t xml:space="preserve"> Offshoring to avoid levies undermines domestic sharing.</w:t>
      </w:r>
      <w:r>
        <w:br/>
      </w:r>
      <w:r>
        <w:rPr>
          <w:b/>
          <w:bCs/>
        </w:rPr>
        <w:t>Mitigations:</w:t>
      </w:r>
      <w:r>
        <w:t xml:space="preserve"> (a) Apply levy to domestic receipts regardless of production location; (b) pursue mutual‑recognition pacts with trade partners; (c) border adjustment for covered services if necessary.</w:t>
      </w:r>
      <w:r>
        <w:br/>
      </w:r>
      <w:r>
        <w:rPr>
          <w:b/>
          <w:bCs/>
        </w:rPr>
        <w:t>Owner:</w:t>
      </w:r>
      <w:r>
        <w:t xml:space="preserve"> USTR + Treasury.</w:t>
      </w:r>
      <w:r>
        <w:br/>
      </w:r>
      <w:r>
        <w:rPr>
          <w:b/>
          <w:bCs/>
        </w:rPr>
        <w:t>Trigger:</w:t>
      </w:r>
      <w:r>
        <w:t xml:space="preserve"> Rapid import share gains in covered sectors.</w:t>
      </w:r>
    </w:p>
    <w:p w14:paraId="53BDB05D" w14:textId="77777777" w:rsidR="004818A5" w:rsidRDefault="004818A5"/>
    <w:p w14:paraId="2F23C9BC" w14:textId="77777777" w:rsidR="004818A5" w:rsidRDefault="00000000">
      <w:pPr>
        <w:pStyle w:val="Heading2"/>
      </w:pPr>
      <w:bookmarkStart w:id="39" w:name="conclusion"/>
      <w:bookmarkEnd w:id="26"/>
      <w:bookmarkEnd w:id="38"/>
      <w:r>
        <w:t>13. Conclusion</w:t>
      </w:r>
    </w:p>
    <w:p w14:paraId="0AFF04FF" w14:textId="77777777" w:rsidR="004818A5" w:rsidRDefault="00000000">
      <w:pPr>
        <w:pStyle w:val="FirstParagraph"/>
      </w:pPr>
      <w:r>
        <w:t xml:space="preserve">The American Resilience and Opportunity Accord aligns technological inevitability with social stability and shared prosperity. By replacing heavy mandates with simple funding, targeted incentives, and worker power, it delivers a visible </w:t>
      </w:r>
      <w:r>
        <w:rPr>
          <w:b/>
          <w:bCs/>
        </w:rPr>
        <w:t>efficiency dividend</w:t>
      </w:r>
      <w:r>
        <w:t>—lower prices, higher frontline wages, and secure transitions—while preserving innovation and competitiveness. Early pilots, transparent reporting, and a broad coalition can move this from concept to norm within 12–24 months.</w:t>
      </w:r>
    </w:p>
    <w:p w14:paraId="746F59FD" w14:textId="77777777" w:rsidR="004818A5" w:rsidRDefault="004818A5"/>
    <w:p w14:paraId="6EDC3751" w14:textId="77777777" w:rsidR="004818A5" w:rsidRDefault="00000000">
      <w:pPr>
        <w:pStyle w:val="Heading2"/>
      </w:pPr>
      <w:bookmarkStart w:id="40" w:name="communications-adoption-strategy"/>
      <w:bookmarkEnd w:id="39"/>
      <w:r>
        <w:t>14. Communications &amp; Adoption Strategy</w:t>
      </w:r>
    </w:p>
    <w:p w14:paraId="11431ABC" w14:textId="77777777" w:rsidR="004818A5" w:rsidRDefault="00000000">
      <w:pPr>
        <w:pStyle w:val="FirstParagraph"/>
      </w:pPr>
      <w:r>
        <w:rPr>
          <w:b/>
          <w:bCs/>
        </w:rPr>
        <w:t>Objectives:</w:t>
      </w:r>
      <w:r>
        <w:t xml:space="preserve"> Build public trust quickly; recruit early adopters; make benefits visible.</w:t>
      </w:r>
      <w:r>
        <w:br/>
      </w:r>
      <w:r>
        <w:rPr>
          <w:b/>
          <w:bCs/>
        </w:rPr>
        <w:t>Tactics:</w:t>
      </w:r>
      <w:r>
        <w:t xml:space="preserve"> (1) Efficiency Dividend Certification and storefront decals; (2) receipts show line‑item “Efficiency Rebate”; (3) paychecks show “Efficiency Bonus”; (4) quarterly press briefings on price and wage KPIs; (5) coalition announcements targeting ≥30% sector coverage.</w:t>
      </w:r>
      <w:r>
        <w:br/>
      </w:r>
      <w:r>
        <w:rPr>
          <w:b/>
          <w:bCs/>
        </w:rPr>
        <w:t>Audiences:</w:t>
      </w:r>
      <w:r>
        <w:t xml:space="preserve"> Consumers, frontline workers, displaced professionals, investors, regulators.</w:t>
      </w:r>
      <w:r>
        <w:br/>
      </w:r>
      <w:r>
        <w:rPr>
          <w:b/>
          <w:bCs/>
        </w:rPr>
        <w:t>Narrative:</w:t>
      </w:r>
      <w:r>
        <w:t xml:space="preserve"> “Replace waste with opportunity—prices down, wages up, transitions funded.”</w:t>
      </w:r>
    </w:p>
    <w:p w14:paraId="56655EF5" w14:textId="77777777" w:rsidR="004818A5" w:rsidRDefault="00000000">
      <w:pPr>
        <w:pStyle w:val="Heading2"/>
      </w:pPr>
      <w:bookmarkStart w:id="41" w:name="pilot-governance-charter"/>
      <w:bookmarkEnd w:id="40"/>
      <w:r>
        <w:t>15. Pilot Governance Charter</w:t>
      </w:r>
    </w:p>
    <w:p w14:paraId="09F8D3D8" w14:textId="77777777" w:rsidR="004818A5" w:rsidRDefault="00000000">
      <w:pPr>
        <w:pStyle w:val="FirstParagraph"/>
      </w:pPr>
      <w:r>
        <w:rPr>
          <w:b/>
          <w:bCs/>
        </w:rPr>
        <w:t>Scope:</w:t>
      </w:r>
      <w:r>
        <w:t xml:space="preserve"> Procurement, scheduling, and finance/planning in retail/logistics + one healthcare admin network.</w:t>
      </w:r>
      <w:r>
        <w:br/>
      </w:r>
      <w:r>
        <w:rPr>
          <w:b/>
          <w:bCs/>
        </w:rPr>
        <w:t>Bodies:</w:t>
      </w:r>
      <w:r>
        <w:t xml:space="preserve"> Steering Committee (Treasury, DOL, firms, labor); Technical Working Group (data standards, model cards); Ethics &amp; Appeals Panel (worker reps + independent experts).</w:t>
      </w:r>
      <w:r>
        <w:br/>
      </w:r>
      <w:r>
        <w:rPr>
          <w:b/>
          <w:bCs/>
        </w:rPr>
        <w:t>Cadence:</w:t>
      </w:r>
      <w:r>
        <w:t xml:space="preserve"> Bi‑weekly TWG; monthly Steering; quarterly public report.</w:t>
      </w:r>
      <w:r>
        <w:br/>
      </w:r>
      <w:r>
        <w:rPr>
          <w:b/>
          <w:bCs/>
        </w:rPr>
        <w:t>Exit Criteria:</w:t>
      </w:r>
      <w:r>
        <w:t xml:space="preserve"> KPI attainment on prices (−3–5%), wages (+5–10%), re‑employment (&lt;60 days), and appeal resolution (&lt;30 days median).</w:t>
      </w:r>
    </w:p>
    <w:p w14:paraId="29E3BC18" w14:textId="77777777" w:rsidR="004818A5" w:rsidRDefault="00000000">
      <w:pPr>
        <w:pStyle w:val="Heading2"/>
      </w:pPr>
      <w:bookmarkStart w:id="42" w:name="budget-funding-flows-illustrative-annual"/>
      <w:bookmarkEnd w:id="41"/>
      <w:r>
        <w:t>16. Budget &amp; Funding Flows (Illustrative, Annual)</w:t>
      </w:r>
    </w:p>
    <w:p w14:paraId="20B3A828" w14:textId="77777777" w:rsidR="004818A5" w:rsidRDefault="00000000">
      <w:pPr>
        <w:pStyle w:val="Compact"/>
        <w:numPr>
          <w:ilvl w:val="0"/>
          <w:numId w:val="22"/>
        </w:numPr>
      </w:pPr>
      <w:r>
        <w:rPr>
          <w:b/>
          <w:bCs/>
        </w:rPr>
        <w:t>UTA inflows (levy):</w:t>
      </w:r>
      <w:r>
        <w:t xml:space="preserve"> $28B</w:t>
      </w:r>
      <w:r>
        <w:br/>
      </w:r>
    </w:p>
    <w:p w14:paraId="2746CC4B" w14:textId="77777777" w:rsidR="004818A5" w:rsidRDefault="00000000">
      <w:pPr>
        <w:pStyle w:val="Compact"/>
        <w:numPr>
          <w:ilvl w:val="0"/>
          <w:numId w:val="22"/>
        </w:numPr>
      </w:pPr>
      <w:r>
        <w:rPr>
          <w:b/>
          <w:bCs/>
        </w:rPr>
        <w:t>Employer credits claimed:</w:t>
      </w:r>
      <w:r>
        <w:t xml:space="preserve"> $22B</w:t>
      </w:r>
      <w:r>
        <w:br/>
      </w:r>
    </w:p>
    <w:p w14:paraId="621810D7" w14:textId="77777777" w:rsidR="004818A5" w:rsidRDefault="00000000">
      <w:pPr>
        <w:pStyle w:val="Compact"/>
        <w:numPr>
          <w:ilvl w:val="0"/>
          <w:numId w:val="22"/>
        </w:numPr>
      </w:pPr>
      <w:r>
        <w:rPr>
          <w:b/>
          <w:bCs/>
        </w:rPr>
        <w:t>Outflows:</w:t>
      </w:r>
      <w:r>
        <w:t xml:space="preserve"> wage insurance $8B; training $6B; startup capital $5B; healthcare bridge $3B; mobility $1B; oversight/admin $2B.</w:t>
      </w:r>
      <w:r>
        <w:br/>
      </w:r>
    </w:p>
    <w:p w14:paraId="504AFFC4" w14:textId="77777777" w:rsidR="004818A5" w:rsidRDefault="00000000">
      <w:pPr>
        <w:pStyle w:val="Compact"/>
        <w:numPr>
          <w:ilvl w:val="0"/>
          <w:numId w:val="22"/>
        </w:numPr>
      </w:pPr>
      <w:r>
        <w:rPr>
          <w:b/>
          <w:bCs/>
        </w:rPr>
        <w:t>Net fiscal position:</w:t>
      </w:r>
      <w:r>
        <w:t xml:space="preserve"> near‑neutral after higher consumption taxes and safety‑net savings.</w:t>
      </w:r>
    </w:p>
    <w:p w14:paraId="6842DF1D" w14:textId="77777777" w:rsidR="004818A5" w:rsidRDefault="00000000">
      <w:pPr>
        <w:pStyle w:val="Heading2"/>
      </w:pPr>
      <w:bookmarkStart w:id="43" w:name="legal-regulatory-considerations"/>
      <w:bookmarkEnd w:id="42"/>
      <w:r>
        <w:t>17. Legal &amp; Regulatory Considerations</w:t>
      </w:r>
    </w:p>
    <w:p w14:paraId="68763E5D" w14:textId="77777777" w:rsidR="004818A5" w:rsidRDefault="00000000">
      <w:pPr>
        <w:pStyle w:val="Compact"/>
        <w:numPr>
          <w:ilvl w:val="0"/>
          <w:numId w:val="23"/>
        </w:numPr>
      </w:pPr>
      <w:r>
        <w:rPr>
          <w:b/>
          <w:bCs/>
        </w:rPr>
        <w:t>Authority:</w:t>
      </w:r>
      <w:r>
        <w:t xml:space="preserve"> Revenue levy via tax code; credit design mirroring existing R&amp;D/Work Opportunity Credits; NLRB authority for neutrality/arbitration rules.</w:t>
      </w:r>
      <w:r>
        <w:br/>
      </w:r>
    </w:p>
    <w:p w14:paraId="1B436608" w14:textId="77777777" w:rsidR="004818A5" w:rsidRDefault="00000000">
      <w:pPr>
        <w:pStyle w:val="Compact"/>
        <w:numPr>
          <w:ilvl w:val="0"/>
          <w:numId w:val="23"/>
        </w:numPr>
      </w:pPr>
      <w:r>
        <w:rPr>
          <w:b/>
          <w:bCs/>
        </w:rPr>
        <w:t>Pre‑emption:</w:t>
      </w:r>
      <w:r>
        <w:t xml:space="preserve"> Preserve state wage/benefit rights; allow stricter state programs.</w:t>
      </w:r>
      <w:r>
        <w:br/>
      </w:r>
    </w:p>
    <w:p w14:paraId="03ADF822" w14:textId="77777777" w:rsidR="004818A5" w:rsidRDefault="00000000">
      <w:pPr>
        <w:pStyle w:val="Compact"/>
        <w:numPr>
          <w:ilvl w:val="0"/>
          <w:numId w:val="23"/>
        </w:numPr>
      </w:pPr>
      <w:r>
        <w:rPr>
          <w:b/>
          <w:bCs/>
        </w:rPr>
        <w:t>Reporting &amp; privacy:</w:t>
      </w:r>
      <w:r>
        <w:t xml:space="preserve"> Limit firm‑level disclosures; use aggregate publication to protect competition while ensuring transparency.</w:t>
      </w:r>
    </w:p>
    <w:p w14:paraId="4414DECF" w14:textId="77777777" w:rsidR="004818A5" w:rsidRDefault="00000000">
      <w:pPr>
        <w:pStyle w:val="Heading2"/>
      </w:pPr>
      <w:bookmarkStart w:id="44" w:name="data-governance-ai-safety-requirements"/>
      <w:bookmarkEnd w:id="43"/>
      <w:r>
        <w:lastRenderedPageBreak/>
        <w:t>18. Data Governance &amp; AI Safety Requirements</w:t>
      </w:r>
    </w:p>
    <w:p w14:paraId="6FB4765A" w14:textId="77777777" w:rsidR="004818A5" w:rsidRDefault="00000000">
      <w:pPr>
        <w:pStyle w:val="Compact"/>
        <w:numPr>
          <w:ilvl w:val="0"/>
          <w:numId w:val="24"/>
        </w:numPr>
      </w:pPr>
      <w:r>
        <w:rPr>
          <w:b/>
          <w:bCs/>
        </w:rPr>
        <w:t>Minimums:</w:t>
      </w:r>
      <w:r>
        <w:t xml:space="preserve"> Model cards; evaluation suites (accuracy, robustness, fairness); decision logs; reproducible pipelines; roll‑back plans.</w:t>
      </w:r>
      <w:r>
        <w:br/>
      </w:r>
    </w:p>
    <w:p w14:paraId="792D3BA6" w14:textId="77777777" w:rsidR="004818A5" w:rsidRDefault="00000000">
      <w:pPr>
        <w:pStyle w:val="Compact"/>
        <w:numPr>
          <w:ilvl w:val="0"/>
          <w:numId w:val="24"/>
        </w:numPr>
      </w:pPr>
      <w:r>
        <w:rPr>
          <w:b/>
          <w:bCs/>
        </w:rPr>
        <w:t>Security:</w:t>
      </w:r>
      <w:r>
        <w:t xml:space="preserve"> SOC 2/ISO 27001; encryption; key management; incident response within 72 hours.</w:t>
      </w:r>
      <w:r>
        <w:br/>
      </w:r>
    </w:p>
    <w:p w14:paraId="5756514E" w14:textId="77777777" w:rsidR="004818A5" w:rsidRDefault="00000000">
      <w:pPr>
        <w:pStyle w:val="Compact"/>
        <w:numPr>
          <w:ilvl w:val="0"/>
          <w:numId w:val="24"/>
        </w:numPr>
      </w:pPr>
      <w:r>
        <w:rPr>
          <w:b/>
          <w:bCs/>
        </w:rPr>
        <w:t>Human‑in‑the‑loop:</w:t>
      </w:r>
      <w:r>
        <w:t xml:space="preserve"> Approval tiers by risk; change‑management gates; periodic red‑teaming.</w:t>
      </w:r>
    </w:p>
    <w:p w14:paraId="2579FCDF" w14:textId="77777777" w:rsidR="004818A5" w:rsidRDefault="00000000">
      <w:pPr>
        <w:pStyle w:val="Heading2"/>
      </w:pPr>
      <w:bookmarkStart w:id="45" w:name="implementation-checklists-templates"/>
      <w:bookmarkEnd w:id="44"/>
      <w:r>
        <w:t>19. Implementation Checklists &amp; Templates</w:t>
      </w:r>
    </w:p>
    <w:p w14:paraId="53E6C131" w14:textId="77777777" w:rsidR="004818A5" w:rsidRDefault="00000000">
      <w:pPr>
        <w:pStyle w:val="Compact"/>
        <w:numPr>
          <w:ilvl w:val="0"/>
          <w:numId w:val="25"/>
        </w:numPr>
      </w:pPr>
      <w:r>
        <w:rPr>
          <w:b/>
          <w:bCs/>
        </w:rPr>
        <w:t>For Firms:</w:t>
      </w:r>
      <w:r>
        <w:t xml:space="preserve"> data inventory; QEA selection; payroll/rebate templates; neutrality attestation; model governance checklist.</w:t>
      </w:r>
      <w:r>
        <w:br/>
      </w:r>
    </w:p>
    <w:p w14:paraId="568E47E5" w14:textId="77777777" w:rsidR="004818A5" w:rsidRDefault="00000000">
      <w:pPr>
        <w:pStyle w:val="Compact"/>
        <w:numPr>
          <w:ilvl w:val="0"/>
          <w:numId w:val="25"/>
        </w:numPr>
      </w:pPr>
      <w:r>
        <w:rPr>
          <w:b/>
          <w:bCs/>
        </w:rPr>
        <w:t>For Agencies:</w:t>
      </w:r>
      <w:r>
        <w:t xml:space="preserve"> levy administration runbook; audit sampling plan; KPI dashboard schema; arbitration workflow.</w:t>
      </w:r>
      <w:r>
        <w:br/>
      </w:r>
    </w:p>
    <w:p w14:paraId="2B6906E4" w14:textId="77777777" w:rsidR="004818A5" w:rsidRDefault="00000000">
      <w:pPr>
        <w:pStyle w:val="Compact"/>
        <w:numPr>
          <w:ilvl w:val="0"/>
          <w:numId w:val="25"/>
        </w:numPr>
      </w:pPr>
      <w:r>
        <w:rPr>
          <w:b/>
          <w:bCs/>
        </w:rPr>
        <w:t>For Labor/Unions:</w:t>
      </w:r>
      <w:r>
        <w:t xml:space="preserve"> bargaining clause templates; worker comms kit; appeal submission forms.</w:t>
      </w:r>
    </w:p>
    <w:p w14:paraId="773A257A" w14:textId="77777777" w:rsidR="004818A5" w:rsidRDefault="00000000">
      <w:pPr>
        <w:pStyle w:val="Heading2"/>
      </w:pPr>
      <w:bookmarkStart w:id="46" w:name="timeline-milestones-24-months"/>
      <w:bookmarkEnd w:id="45"/>
      <w:r>
        <w:t>20. Timeline &amp; Milestones (24 Months)</w:t>
      </w:r>
    </w:p>
    <w:p w14:paraId="0CBCB28F" w14:textId="77777777" w:rsidR="004818A5" w:rsidRDefault="00000000">
      <w:pPr>
        <w:pStyle w:val="Compact"/>
        <w:numPr>
          <w:ilvl w:val="0"/>
          <w:numId w:val="26"/>
        </w:numPr>
      </w:pPr>
      <w:r>
        <w:rPr>
          <w:b/>
          <w:bCs/>
        </w:rPr>
        <w:t>Q1:</w:t>
      </w:r>
      <w:r>
        <w:t xml:space="preserve"> Rules published; UTAs live; pilot cohort announced.</w:t>
      </w:r>
      <w:r>
        <w:br/>
      </w:r>
    </w:p>
    <w:p w14:paraId="3E1AC787" w14:textId="77777777" w:rsidR="004818A5" w:rsidRDefault="00000000">
      <w:pPr>
        <w:pStyle w:val="Compact"/>
        <w:numPr>
          <w:ilvl w:val="0"/>
          <w:numId w:val="26"/>
        </w:numPr>
      </w:pPr>
      <w:r>
        <w:rPr>
          <w:b/>
          <w:bCs/>
        </w:rPr>
        <w:t>Q2:</w:t>
      </w:r>
      <w:r>
        <w:t xml:space="preserve"> Shadow → low‑risk auto‑execute; first rebates/bonuses disbursed.</w:t>
      </w:r>
      <w:r>
        <w:br/>
      </w:r>
    </w:p>
    <w:p w14:paraId="24656CFF" w14:textId="77777777" w:rsidR="004818A5" w:rsidRDefault="00000000">
      <w:pPr>
        <w:pStyle w:val="Compact"/>
        <w:numPr>
          <w:ilvl w:val="0"/>
          <w:numId w:val="26"/>
        </w:numPr>
      </w:pPr>
      <w:r>
        <w:rPr>
          <w:b/>
          <w:bCs/>
        </w:rPr>
        <w:t>Q3:</w:t>
      </w:r>
      <w:r>
        <w:t xml:space="preserve"> First Efficiency Dividend Report; expand to two additional sectors; train‑to‑hire cohorts graduate.</w:t>
      </w:r>
      <w:r>
        <w:br/>
      </w:r>
    </w:p>
    <w:p w14:paraId="62133C24" w14:textId="77777777" w:rsidR="004818A5" w:rsidRDefault="00000000">
      <w:pPr>
        <w:pStyle w:val="Compact"/>
        <w:numPr>
          <w:ilvl w:val="0"/>
          <w:numId w:val="26"/>
        </w:numPr>
      </w:pPr>
      <w:r>
        <w:rPr>
          <w:b/>
          <w:bCs/>
        </w:rPr>
        <w:t>Q4:</w:t>
      </w:r>
      <w:r>
        <w:t xml:space="preserve"> Sector coverage ≥30%; re‑employment median &lt;60 days.</w:t>
      </w:r>
      <w:r>
        <w:br/>
      </w:r>
    </w:p>
    <w:p w14:paraId="16F71230" w14:textId="77777777" w:rsidR="004818A5" w:rsidRDefault="00000000">
      <w:pPr>
        <w:pStyle w:val="Compact"/>
        <w:numPr>
          <w:ilvl w:val="0"/>
          <w:numId w:val="26"/>
        </w:numPr>
      </w:pPr>
      <w:r>
        <w:rPr>
          <w:b/>
          <w:bCs/>
        </w:rPr>
        <w:t>Q5–Q8:</w:t>
      </w:r>
      <w:r>
        <w:t xml:space="preserve"> National scale‑up; international MOUs; statutory renewal window opens with KPI scorecards.</w:t>
      </w:r>
    </w:p>
    <w:p w14:paraId="1F817E80" w14:textId="77777777" w:rsidR="004818A5" w:rsidRDefault="004818A5"/>
    <w:p w14:paraId="45DEBDC8" w14:textId="77777777" w:rsidR="004818A5" w:rsidRDefault="00000000">
      <w:pPr>
        <w:pStyle w:val="Heading2"/>
      </w:pPr>
      <w:bookmarkStart w:id="47" w:name="conclusion-1"/>
      <w:bookmarkEnd w:id="46"/>
      <w:r>
        <w:t>13. Conclusion</w:t>
      </w:r>
    </w:p>
    <w:p w14:paraId="0D236DDD" w14:textId="77777777" w:rsidR="004818A5" w:rsidRDefault="00000000">
      <w:pPr>
        <w:pStyle w:val="FirstParagraph"/>
      </w:pPr>
      <w:r>
        <w:t xml:space="preserve">The American Resilience and Opportunity Accord aligns technological inevitability with social stability and shared prosperity. By replacing heavy mandates with simple funding, targeted incentives, and worker power, it delivers a visible </w:t>
      </w:r>
      <w:r>
        <w:rPr>
          <w:b/>
          <w:bCs/>
        </w:rPr>
        <w:t>efficiency dividend</w:t>
      </w:r>
      <w:r>
        <w:t xml:space="preserve">—lower prices, higher frontline wages, and secure transitions—while preserving innovation and </w:t>
      </w:r>
      <w:r>
        <w:lastRenderedPageBreak/>
        <w:t>competitiveness. Early pilots, transparent reporting, and a broad coalition can move this from concept to norm within 12–24 months.</w:t>
      </w:r>
    </w:p>
    <w:p w14:paraId="233A6059" w14:textId="77777777" w:rsidR="004818A5" w:rsidRDefault="004818A5"/>
    <w:p w14:paraId="118EFE7E" w14:textId="77777777" w:rsidR="004818A5" w:rsidRDefault="00000000">
      <w:pPr>
        <w:pStyle w:val="Heading2"/>
      </w:pPr>
      <w:bookmarkStart w:id="48" w:name="Xa90499dfeedc2d0f4456883a58edd3ab25bd4de"/>
      <w:bookmarkEnd w:id="47"/>
      <w:r>
        <w:t>Appendix A. Model Legislation: The American Resilience and Opportunity Accord Act (Abbreviated)</w:t>
      </w:r>
    </w:p>
    <w:p w14:paraId="35C5D82E" w14:textId="77777777" w:rsidR="004818A5" w:rsidRDefault="00000000">
      <w:pPr>
        <w:pStyle w:val="FirstParagraph"/>
      </w:pPr>
      <w:r>
        <w:rPr>
          <w:b/>
          <w:bCs/>
        </w:rPr>
        <w:t>Purpose:</w:t>
      </w:r>
      <w:r>
        <w:t xml:space="preserve"> fund UTAs; incentivize firms to share gains; strengthen bargaining.</w:t>
      </w:r>
      <w:r>
        <w:br/>
      </w:r>
      <w:r>
        <w:rPr>
          <w:b/>
          <w:bCs/>
        </w:rPr>
        <w:t>Levy:</w:t>
      </w:r>
      <w:r>
        <w:t xml:space="preserve"> 0.5% of corporate gross receipts above $50M (or AI-compute tax).</w:t>
      </w:r>
      <w:r>
        <w:br/>
      </w:r>
      <w:r>
        <w:rPr>
          <w:b/>
          <w:bCs/>
        </w:rPr>
        <w:t>UTAs:</w:t>
      </w:r>
      <w:r>
        <w:t xml:space="preserve"> wage insurance (to $20k/yr, 2 yrs), training, healthcare bridge, startup capital (to $50k).</w:t>
      </w:r>
      <w:r>
        <w:br/>
      </w:r>
      <w:r>
        <w:rPr>
          <w:b/>
          <w:bCs/>
        </w:rPr>
        <w:t>Credits (QEAs):</w:t>
      </w:r>
      <w:r>
        <w:t xml:space="preserve"> wages, rebates, profit-/equity-sharing, UTA top-ups; stackable to 50% of tax liability.</w:t>
      </w:r>
      <w:r>
        <w:br/>
      </w:r>
      <w:r>
        <w:rPr>
          <w:b/>
          <w:bCs/>
        </w:rPr>
        <w:t>Worker power:</w:t>
      </w:r>
      <w:r>
        <w:t xml:space="preserve"> union neutrality for large credit claimants; fast-track arbitration.</w:t>
      </w:r>
      <w:r>
        <w:br/>
      </w:r>
      <w:r>
        <w:rPr>
          <w:b/>
          <w:bCs/>
        </w:rPr>
        <w:t>Reporting:</w:t>
      </w:r>
      <w:r>
        <w:t xml:space="preserve"> annual aggregate report; penalties for fraudulent claims (repayment + 200% penalty; 3-year ineligibility).</w:t>
      </w:r>
      <w:r>
        <w:br/>
      </w:r>
      <w:r>
        <w:rPr>
          <w:b/>
          <w:bCs/>
        </w:rPr>
        <w:t>Effective date:</w:t>
      </w:r>
      <w:r>
        <w:t xml:space="preserve"> Jan 1 following passage.</w:t>
      </w:r>
    </w:p>
    <w:p w14:paraId="02031D3A" w14:textId="77777777" w:rsidR="004818A5" w:rsidRDefault="004818A5"/>
    <w:p w14:paraId="4C84FC9B" w14:textId="77777777" w:rsidR="004818A5" w:rsidRDefault="00000000">
      <w:pPr>
        <w:pStyle w:val="Heading2"/>
      </w:pPr>
      <w:bookmarkStart w:id="49" w:name="X4604c9a3846c18885f6d9a885c0ef3ba7890bf2"/>
      <w:bookmarkEnd w:id="48"/>
      <w:r>
        <w:t>Appendix B. Methodological Notes &amp; Assumptions</w:t>
      </w:r>
    </w:p>
    <w:p w14:paraId="24DBAB8B" w14:textId="77777777" w:rsidR="004818A5" w:rsidRDefault="00000000">
      <w:pPr>
        <w:pStyle w:val="Compact"/>
        <w:numPr>
          <w:ilvl w:val="0"/>
          <w:numId w:val="27"/>
        </w:numPr>
      </w:pPr>
      <w:r>
        <w:t>Displacement concentrated in corporate/admin roles: 10–15% of total jobs at risk over a decade.</w:t>
      </w:r>
    </w:p>
    <w:p w14:paraId="1A50A6D3" w14:textId="77777777" w:rsidR="004818A5" w:rsidRDefault="00000000">
      <w:pPr>
        <w:pStyle w:val="Compact"/>
        <w:numPr>
          <w:ilvl w:val="0"/>
          <w:numId w:val="27"/>
        </w:numPr>
      </w:pPr>
      <w:r>
        <w:t>Price pass-through elasticities calibrated to sectors with moderate competition; concentrated sectors require stronger credits for rebates.</w:t>
      </w:r>
    </w:p>
    <w:p w14:paraId="231CB064" w14:textId="77777777" w:rsidR="004818A5" w:rsidRDefault="00000000">
      <w:pPr>
        <w:pStyle w:val="Compact"/>
        <w:numPr>
          <w:ilvl w:val="0"/>
          <w:numId w:val="27"/>
        </w:numPr>
      </w:pPr>
      <w:r>
        <w:t xml:space="preserve">Wage insurance utilization ~40% of displaced; average benefit </w:t>
      </w:r>
      <w:r>
        <w:rPr>
          <w:b/>
          <w:bCs/>
        </w:rPr>
        <w:t>$10–15k</w:t>
      </w:r>
      <w:r>
        <w:t xml:space="preserve"> annually.</w:t>
      </w:r>
    </w:p>
    <w:p w14:paraId="1EA7A799" w14:textId="77777777" w:rsidR="004818A5" w:rsidRDefault="00000000">
      <w:pPr>
        <w:pStyle w:val="Compact"/>
        <w:numPr>
          <w:ilvl w:val="0"/>
          <w:numId w:val="27"/>
        </w:numPr>
      </w:pPr>
      <w:r>
        <w:t xml:space="preserve">Training cost </w:t>
      </w:r>
      <w:r>
        <w:rPr>
          <w:b/>
          <w:bCs/>
        </w:rPr>
        <w:t>$5–7k</w:t>
      </w:r>
      <w:r>
        <w:t xml:space="preserve"> per participant; mobility grants average </w:t>
      </w:r>
      <w:r>
        <w:rPr>
          <w:b/>
          <w:bCs/>
        </w:rPr>
        <w:t>$5k</w:t>
      </w:r>
      <w:r>
        <w:t xml:space="preserve">; startup grants/loans average </w:t>
      </w:r>
      <w:r>
        <w:rPr>
          <w:b/>
          <w:bCs/>
        </w:rPr>
        <w:t>$30–40k</w:t>
      </w:r>
      <w:r>
        <w:t xml:space="preserve"> for 10% of displaced cohort.</w:t>
      </w:r>
    </w:p>
    <w:p w14:paraId="20D5660F" w14:textId="77777777" w:rsidR="004818A5" w:rsidRDefault="004818A5"/>
    <w:p w14:paraId="35B9203F" w14:textId="77777777" w:rsidR="004818A5" w:rsidRDefault="00000000">
      <w:pPr>
        <w:pStyle w:val="Heading2"/>
      </w:pPr>
      <w:bookmarkStart w:id="50" w:name="appendix-c.-sample-compliance-artifacts"/>
      <w:bookmarkEnd w:id="49"/>
      <w:r>
        <w:t>Appendix C. Sample Compliance Artifacts</w:t>
      </w:r>
    </w:p>
    <w:p w14:paraId="1A16DFB7" w14:textId="77777777" w:rsidR="004818A5" w:rsidRDefault="00000000">
      <w:pPr>
        <w:pStyle w:val="Compact"/>
        <w:numPr>
          <w:ilvl w:val="0"/>
          <w:numId w:val="28"/>
        </w:numPr>
      </w:pPr>
      <w:r>
        <w:t>Payroll delta report template (frontline raises vs. inflation).</w:t>
      </w:r>
      <w:r>
        <w:br/>
      </w:r>
    </w:p>
    <w:p w14:paraId="7A912640" w14:textId="77777777" w:rsidR="004818A5" w:rsidRDefault="00000000">
      <w:pPr>
        <w:pStyle w:val="Compact"/>
        <w:numPr>
          <w:ilvl w:val="0"/>
          <w:numId w:val="28"/>
        </w:numPr>
      </w:pPr>
      <w:r>
        <w:t>Consumer rebate verification template (SKU basket &amp; totals).</w:t>
      </w:r>
      <w:r>
        <w:br/>
      </w:r>
    </w:p>
    <w:p w14:paraId="2D755CFD" w14:textId="77777777" w:rsidR="004818A5" w:rsidRDefault="00000000">
      <w:pPr>
        <w:pStyle w:val="Compact"/>
        <w:numPr>
          <w:ilvl w:val="0"/>
          <w:numId w:val="28"/>
        </w:numPr>
      </w:pPr>
      <w:r>
        <w:t>UTA contribution statement format.</w:t>
      </w:r>
      <w:r>
        <w:br/>
      </w:r>
    </w:p>
    <w:p w14:paraId="0A7D1394" w14:textId="77777777" w:rsidR="004818A5" w:rsidRDefault="00000000">
      <w:pPr>
        <w:pStyle w:val="Compact"/>
        <w:numPr>
          <w:ilvl w:val="0"/>
          <w:numId w:val="28"/>
        </w:numPr>
      </w:pPr>
      <w:r>
        <w:t>Union neutrality attestation and arbitration intake form.</w:t>
      </w:r>
    </w:p>
    <w:p w14:paraId="7B64DB0C" w14:textId="77777777" w:rsidR="004818A5" w:rsidRDefault="00000000">
      <w:pPr>
        <w:pStyle w:val="Heading2"/>
      </w:pPr>
      <w:bookmarkStart w:id="51" w:name="Xbdf3f3a90f943d9483767a6867d03e46325e725"/>
      <w:bookmarkEnd w:id="50"/>
      <w:r>
        <w:lastRenderedPageBreak/>
        <w:t>Appendix D. Fiscal Scenarios &amp; Auto‑Tune Rule (One‑Page)</w:t>
      </w:r>
    </w:p>
    <w:p w14:paraId="673443BC" w14:textId="77777777" w:rsidR="004818A5" w:rsidRDefault="00000000">
      <w:pPr>
        <w:pStyle w:val="FirstParagraph"/>
      </w:pPr>
      <w:r>
        <w:rPr>
          <w:b/>
          <w:bCs/>
        </w:rPr>
        <w:t>Formula:</w:t>
      </w:r>
      <w:r>
        <w:t xml:space="preserve"> Fiscal balance = </w:t>
      </w:r>
      <w:r>
        <w:rPr>
          <w:b/>
          <w:bCs/>
        </w:rPr>
        <w:t>Levy receipts − Credits − Admin + Offsets</w:t>
      </w:r>
      <w:r>
        <w:br/>
        <w:t>Offsets = (safety‑net savings + higher taxable income/consumption − state sales‑tax drag)</w:t>
      </w:r>
    </w:p>
    <w:tbl>
      <w:tblPr>
        <w:tblStyle w:val="Table"/>
        <w:tblW w:w="5000" w:type="pct"/>
        <w:tblLayout w:type="fixed"/>
        <w:tblLook w:val="0020" w:firstRow="1" w:lastRow="0" w:firstColumn="0" w:lastColumn="0" w:noHBand="0" w:noVBand="0"/>
      </w:tblPr>
      <w:tblGrid>
        <w:gridCol w:w="1105"/>
        <w:gridCol w:w="1105"/>
        <w:gridCol w:w="1474"/>
        <w:gridCol w:w="1473"/>
        <w:gridCol w:w="1473"/>
        <w:gridCol w:w="1473"/>
        <w:gridCol w:w="1473"/>
      </w:tblGrid>
      <w:tr w:rsidR="004818A5" w14:paraId="3E3A7D18" w14:textId="77777777" w:rsidTr="004818A5">
        <w:trPr>
          <w:cnfStyle w:val="100000000000" w:firstRow="1" w:lastRow="0" w:firstColumn="0" w:lastColumn="0" w:oddVBand="0" w:evenVBand="0" w:oddHBand="0" w:evenHBand="0" w:firstRowFirstColumn="0" w:firstRowLastColumn="0" w:lastRowFirstColumn="0" w:lastRowLastColumn="0"/>
          <w:tblHeader/>
        </w:trPr>
        <w:tc>
          <w:tcPr>
            <w:tcW w:w="913" w:type="dxa"/>
          </w:tcPr>
          <w:p w14:paraId="5B175E2F" w14:textId="77777777" w:rsidR="004818A5" w:rsidRDefault="00000000">
            <w:pPr>
              <w:pStyle w:val="Compact"/>
            </w:pPr>
            <w:r>
              <w:t>Scenario</w:t>
            </w:r>
          </w:p>
        </w:tc>
        <w:tc>
          <w:tcPr>
            <w:tcW w:w="913" w:type="dxa"/>
          </w:tcPr>
          <w:p w14:paraId="2A851794" w14:textId="77777777" w:rsidR="004818A5" w:rsidRDefault="00000000">
            <w:pPr>
              <w:pStyle w:val="Compact"/>
            </w:pPr>
            <w:r>
              <w:t>Levy rate &amp; base (illustrative)</w:t>
            </w:r>
          </w:p>
        </w:tc>
        <w:tc>
          <w:tcPr>
            <w:tcW w:w="1218" w:type="dxa"/>
          </w:tcPr>
          <w:p w14:paraId="4EE64ED3" w14:textId="77777777" w:rsidR="004818A5" w:rsidRDefault="00000000">
            <w:pPr>
              <w:pStyle w:val="Compact"/>
              <w:jc w:val="right"/>
            </w:pPr>
            <w:r>
              <w:t>Levy receipts</w:t>
            </w:r>
          </w:p>
        </w:tc>
        <w:tc>
          <w:tcPr>
            <w:tcW w:w="1218" w:type="dxa"/>
          </w:tcPr>
          <w:p w14:paraId="746AC81F" w14:textId="77777777" w:rsidR="004818A5" w:rsidRDefault="00000000">
            <w:pPr>
              <w:pStyle w:val="Compact"/>
              <w:jc w:val="right"/>
            </w:pPr>
            <w:r>
              <w:t>Credits (cap applies)</w:t>
            </w:r>
          </w:p>
        </w:tc>
        <w:tc>
          <w:tcPr>
            <w:tcW w:w="1218" w:type="dxa"/>
          </w:tcPr>
          <w:p w14:paraId="3F8C3470" w14:textId="77777777" w:rsidR="004818A5" w:rsidRDefault="00000000">
            <w:pPr>
              <w:pStyle w:val="Compact"/>
              <w:jc w:val="right"/>
            </w:pPr>
            <w:r>
              <w:t>Admin/Oversight</w:t>
            </w:r>
          </w:p>
        </w:tc>
        <w:tc>
          <w:tcPr>
            <w:tcW w:w="1218" w:type="dxa"/>
          </w:tcPr>
          <w:p w14:paraId="00C48B2D" w14:textId="77777777" w:rsidR="004818A5" w:rsidRDefault="00000000">
            <w:pPr>
              <w:pStyle w:val="Compact"/>
              <w:jc w:val="right"/>
            </w:pPr>
            <w:r>
              <w:t>Offsets (SN + taxes − state)</w:t>
            </w:r>
          </w:p>
        </w:tc>
        <w:tc>
          <w:tcPr>
            <w:tcW w:w="1218" w:type="dxa"/>
          </w:tcPr>
          <w:p w14:paraId="0F1BF2B3" w14:textId="77777777" w:rsidR="004818A5" w:rsidRDefault="00000000">
            <w:pPr>
              <w:pStyle w:val="Compact"/>
              <w:jc w:val="right"/>
            </w:pPr>
            <w:r>
              <w:rPr>
                <w:b/>
                <w:bCs/>
              </w:rPr>
              <w:t>Fiscal balance</w:t>
            </w:r>
          </w:p>
        </w:tc>
      </w:tr>
      <w:tr w:rsidR="004818A5" w14:paraId="1CE3FB36" w14:textId="77777777">
        <w:tc>
          <w:tcPr>
            <w:tcW w:w="913" w:type="dxa"/>
          </w:tcPr>
          <w:p w14:paraId="64DDCC4F" w14:textId="77777777" w:rsidR="004818A5" w:rsidRDefault="00000000">
            <w:pPr>
              <w:pStyle w:val="Compact"/>
            </w:pPr>
            <w:r>
              <w:rPr>
                <w:b/>
                <w:bCs/>
              </w:rPr>
              <w:t>A) Conservative uptake</w:t>
            </w:r>
          </w:p>
        </w:tc>
        <w:tc>
          <w:tcPr>
            <w:tcW w:w="913" w:type="dxa"/>
          </w:tcPr>
          <w:p w14:paraId="2BF3D8E7" w14:textId="77777777" w:rsidR="004818A5" w:rsidRDefault="00000000">
            <w:pPr>
              <w:pStyle w:val="Compact"/>
            </w:pPr>
            <w:r>
              <w:rPr>
                <w:b/>
                <w:bCs/>
              </w:rPr>
              <w:t>0.45%</w:t>
            </w:r>
            <w:r>
              <w:t xml:space="preserve"> on receipts &gt;$50M</w:t>
            </w:r>
          </w:p>
        </w:tc>
        <w:tc>
          <w:tcPr>
            <w:tcW w:w="1218" w:type="dxa"/>
          </w:tcPr>
          <w:p w14:paraId="44D4E677" w14:textId="77777777" w:rsidR="004818A5" w:rsidRDefault="00000000">
            <w:pPr>
              <w:pStyle w:val="Compact"/>
              <w:jc w:val="right"/>
            </w:pPr>
            <w:r>
              <w:rPr>
                <w:b/>
                <w:bCs/>
              </w:rPr>
              <w:t>$24B</w:t>
            </w:r>
          </w:p>
        </w:tc>
        <w:tc>
          <w:tcPr>
            <w:tcW w:w="1218" w:type="dxa"/>
          </w:tcPr>
          <w:p w14:paraId="369A4730" w14:textId="77777777" w:rsidR="004818A5" w:rsidRDefault="00000000">
            <w:pPr>
              <w:pStyle w:val="Compact"/>
              <w:jc w:val="right"/>
            </w:pPr>
            <w:r>
              <w:rPr>
                <w:b/>
                <w:bCs/>
              </w:rPr>
              <w:t>$18B</w:t>
            </w:r>
          </w:p>
        </w:tc>
        <w:tc>
          <w:tcPr>
            <w:tcW w:w="1218" w:type="dxa"/>
          </w:tcPr>
          <w:p w14:paraId="57A9BBC0" w14:textId="77777777" w:rsidR="004818A5" w:rsidRDefault="00000000">
            <w:pPr>
              <w:pStyle w:val="Compact"/>
              <w:jc w:val="right"/>
            </w:pPr>
            <w:r>
              <w:rPr>
                <w:b/>
                <w:bCs/>
              </w:rPr>
              <w:t>$2B</w:t>
            </w:r>
          </w:p>
        </w:tc>
        <w:tc>
          <w:tcPr>
            <w:tcW w:w="1218" w:type="dxa"/>
          </w:tcPr>
          <w:p w14:paraId="2594A140" w14:textId="77777777" w:rsidR="004818A5" w:rsidRDefault="00000000">
            <w:pPr>
              <w:pStyle w:val="Compact"/>
              <w:jc w:val="right"/>
            </w:pPr>
            <w:r>
              <w:rPr>
                <w:b/>
                <w:bCs/>
              </w:rPr>
              <w:t>+$9B</w:t>
            </w:r>
            <w:r>
              <w:t xml:space="preserve"> (4 + 6 − 1)</w:t>
            </w:r>
          </w:p>
        </w:tc>
        <w:tc>
          <w:tcPr>
            <w:tcW w:w="1218" w:type="dxa"/>
          </w:tcPr>
          <w:p w14:paraId="51FAC853" w14:textId="77777777" w:rsidR="004818A5" w:rsidRDefault="00000000">
            <w:pPr>
              <w:pStyle w:val="Compact"/>
              <w:jc w:val="right"/>
            </w:pPr>
            <w:r>
              <w:rPr>
                <w:b/>
                <w:bCs/>
              </w:rPr>
              <w:t>+$13B</w:t>
            </w:r>
          </w:p>
        </w:tc>
      </w:tr>
      <w:tr w:rsidR="004818A5" w14:paraId="0C1D4EC9" w14:textId="77777777">
        <w:tc>
          <w:tcPr>
            <w:tcW w:w="913" w:type="dxa"/>
          </w:tcPr>
          <w:p w14:paraId="7128FF09" w14:textId="77777777" w:rsidR="004818A5" w:rsidRDefault="00000000">
            <w:pPr>
              <w:pStyle w:val="Compact"/>
            </w:pPr>
            <w:r>
              <w:rPr>
                <w:b/>
                <w:bCs/>
              </w:rPr>
              <w:t>B) Baseline</w:t>
            </w:r>
          </w:p>
        </w:tc>
        <w:tc>
          <w:tcPr>
            <w:tcW w:w="913" w:type="dxa"/>
          </w:tcPr>
          <w:p w14:paraId="4CCCF3DB" w14:textId="77777777" w:rsidR="004818A5" w:rsidRDefault="00000000">
            <w:pPr>
              <w:pStyle w:val="Compact"/>
            </w:pPr>
            <w:r>
              <w:rPr>
                <w:b/>
                <w:bCs/>
              </w:rPr>
              <w:t>0.50%</w:t>
            </w:r>
            <w:r>
              <w:t xml:space="preserve"> on receipts &gt;$50M</w:t>
            </w:r>
          </w:p>
        </w:tc>
        <w:tc>
          <w:tcPr>
            <w:tcW w:w="1218" w:type="dxa"/>
          </w:tcPr>
          <w:p w14:paraId="6DB3EE80" w14:textId="77777777" w:rsidR="004818A5" w:rsidRDefault="00000000">
            <w:pPr>
              <w:pStyle w:val="Compact"/>
              <w:jc w:val="right"/>
            </w:pPr>
            <w:r>
              <w:rPr>
                <w:b/>
                <w:bCs/>
              </w:rPr>
              <w:t>$28B</w:t>
            </w:r>
          </w:p>
        </w:tc>
        <w:tc>
          <w:tcPr>
            <w:tcW w:w="1218" w:type="dxa"/>
          </w:tcPr>
          <w:p w14:paraId="2AD18B74" w14:textId="77777777" w:rsidR="004818A5" w:rsidRDefault="00000000">
            <w:pPr>
              <w:pStyle w:val="Compact"/>
              <w:jc w:val="right"/>
            </w:pPr>
            <w:r>
              <w:rPr>
                <w:b/>
                <w:bCs/>
              </w:rPr>
              <w:t>$22B</w:t>
            </w:r>
          </w:p>
        </w:tc>
        <w:tc>
          <w:tcPr>
            <w:tcW w:w="1218" w:type="dxa"/>
          </w:tcPr>
          <w:p w14:paraId="43DFAACC" w14:textId="77777777" w:rsidR="004818A5" w:rsidRDefault="00000000">
            <w:pPr>
              <w:pStyle w:val="Compact"/>
              <w:jc w:val="right"/>
            </w:pPr>
            <w:r>
              <w:rPr>
                <w:b/>
                <w:bCs/>
              </w:rPr>
              <w:t>$2B</w:t>
            </w:r>
          </w:p>
        </w:tc>
        <w:tc>
          <w:tcPr>
            <w:tcW w:w="1218" w:type="dxa"/>
          </w:tcPr>
          <w:p w14:paraId="76A81CC9" w14:textId="77777777" w:rsidR="004818A5" w:rsidRDefault="00000000">
            <w:pPr>
              <w:pStyle w:val="Compact"/>
              <w:jc w:val="right"/>
            </w:pPr>
            <w:r>
              <w:rPr>
                <w:b/>
                <w:bCs/>
              </w:rPr>
              <w:t>+$14B</w:t>
            </w:r>
            <w:r>
              <w:t xml:space="preserve"> (8 + 8 − 2)</w:t>
            </w:r>
          </w:p>
        </w:tc>
        <w:tc>
          <w:tcPr>
            <w:tcW w:w="1218" w:type="dxa"/>
          </w:tcPr>
          <w:p w14:paraId="2A655291" w14:textId="77777777" w:rsidR="004818A5" w:rsidRDefault="00000000">
            <w:pPr>
              <w:pStyle w:val="Compact"/>
              <w:jc w:val="right"/>
            </w:pPr>
            <w:r>
              <w:rPr>
                <w:b/>
                <w:bCs/>
              </w:rPr>
              <w:t>+$18B</w:t>
            </w:r>
          </w:p>
        </w:tc>
      </w:tr>
      <w:tr w:rsidR="004818A5" w14:paraId="2FF213E6" w14:textId="77777777">
        <w:tc>
          <w:tcPr>
            <w:tcW w:w="913" w:type="dxa"/>
          </w:tcPr>
          <w:p w14:paraId="5B641AC8" w14:textId="77777777" w:rsidR="004818A5" w:rsidRDefault="00000000">
            <w:pPr>
              <w:pStyle w:val="Compact"/>
            </w:pPr>
            <w:r>
              <w:rPr>
                <w:b/>
                <w:bCs/>
              </w:rPr>
              <w:t>C) High sharing, high uptake</w:t>
            </w:r>
          </w:p>
        </w:tc>
        <w:tc>
          <w:tcPr>
            <w:tcW w:w="913" w:type="dxa"/>
          </w:tcPr>
          <w:p w14:paraId="2A64597A" w14:textId="77777777" w:rsidR="004818A5" w:rsidRDefault="00000000">
            <w:pPr>
              <w:pStyle w:val="Compact"/>
            </w:pPr>
            <w:r>
              <w:rPr>
                <w:b/>
                <w:bCs/>
              </w:rPr>
              <w:t>0.50%</w:t>
            </w:r>
            <w:r>
              <w:t xml:space="preserve"> on receipts &gt;$50M</w:t>
            </w:r>
          </w:p>
        </w:tc>
        <w:tc>
          <w:tcPr>
            <w:tcW w:w="1218" w:type="dxa"/>
          </w:tcPr>
          <w:p w14:paraId="66C96998" w14:textId="77777777" w:rsidR="004818A5" w:rsidRDefault="00000000">
            <w:pPr>
              <w:pStyle w:val="Compact"/>
              <w:jc w:val="right"/>
            </w:pPr>
            <w:r>
              <w:rPr>
                <w:b/>
                <w:bCs/>
              </w:rPr>
              <w:t>$28B</w:t>
            </w:r>
          </w:p>
        </w:tc>
        <w:tc>
          <w:tcPr>
            <w:tcW w:w="1218" w:type="dxa"/>
          </w:tcPr>
          <w:p w14:paraId="57E4E8F9" w14:textId="77777777" w:rsidR="004818A5" w:rsidRDefault="00000000">
            <w:pPr>
              <w:pStyle w:val="Compact"/>
              <w:jc w:val="right"/>
            </w:pPr>
            <w:r>
              <w:rPr>
                <w:b/>
                <w:bCs/>
              </w:rPr>
              <w:t>$26B</w:t>
            </w:r>
          </w:p>
        </w:tc>
        <w:tc>
          <w:tcPr>
            <w:tcW w:w="1218" w:type="dxa"/>
          </w:tcPr>
          <w:p w14:paraId="03CA82DC" w14:textId="77777777" w:rsidR="004818A5" w:rsidRDefault="00000000">
            <w:pPr>
              <w:pStyle w:val="Compact"/>
              <w:jc w:val="right"/>
            </w:pPr>
            <w:r>
              <w:rPr>
                <w:b/>
                <w:bCs/>
              </w:rPr>
              <w:t>$2B</w:t>
            </w:r>
          </w:p>
        </w:tc>
        <w:tc>
          <w:tcPr>
            <w:tcW w:w="1218" w:type="dxa"/>
          </w:tcPr>
          <w:p w14:paraId="0B0AE2B4" w14:textId="77777777" w:rsidR="004818A5" w:rsidRDefault="00000000">
            <w:pPr>
              <w:pStyle w:val="Compact"/>
              <w:jc w:val="right"/>
            </w:pPr>
            <w:r>
              <w:rPr>
                <w:b/>
                <w:bCs/>
              </w:rPr>
              <w:t>+$19B</w:t>
            </w:r>
            <w:r>
              <w:t xml:space="preserve"> (10 + 12 − 3)</w:t>
            </w:r>
          </w:p>
        </w:tc>
        <w:tc>
          <w:tcPr>
            <w:tcW w:w="1218" w:type="dxa"/>
          </w:tcPr>
          <w:p w14:paraId="3BA7D062" w14:textId="77777777" w:rsidR="004818A5" w:rsidRDefault="00000000">
            <w:pPr>
              <w:pStyle w:val="Compact"/>
              <w:jc w:val="right"/>
            </w:pPr>
            <w:r>
              <w:rPr>
                <w:b/>
                <w:bCs/>
              </w:rPr>
              <w:t>+$19B</w:t>
            </w:r>
          </w:p>
        </w:tc>
      </w:tr>
      <w:tr w:rsidR="004818A5" w14:paraId="1F98F25C" w14:textId="77777777">
        <w:tc>
          <w:tcPr>
            <w:tcW w:w="913" w:type="dxa"/>
          </w:tcPr>
          <w:p w14:paraId="74F21F4A" w14:textId="77777777" w:rsidR="004818A5" w:rsidRDefault="00000000">
            <w:pPr>
              <w:pStyle w:val="Compact"/>
            </w:pPr>
            <w:r>
              <w:rPr>
                <w:b/>
                <w:bCs/>
              </w:rPr>
              <w:t>D) Stress (credits heavy, offsets light)</w:t>
            </w:r>
          </w:p>
        </w:tc>
        <w:tc>
          <w:tcPr>
            <w:tcW w:w="913" w:type="dxa"/>
          </w:tcPr>
          <w:p w14:paraId="07A757B1" w14:textId="77777777" w:rsidR="004818A5" w:rsidRDefault="00000000">
            <w:pPr>
              <w:pStyle w:val="Compact"/>
            </w:pPr>
            <w:r>
              <w:rPr>
                <w:b/>
                <w:bCs/>
              </w:rPr>
              <w:t>0.45%</w:t>
            </w:r>
            <w:r>
              <w:t xml:space="preserve"> on receipts &gt;$50M</w:t>
            </w:r>
          </w:p>
        </w:tc>
        <w:tc>
          <w:tcPr>
            <w:tcW w:w="1218" w:type="dxa"/>
          </w:tcPr>
          <w:p w14:paraId="39DBD3E1" w14:textId="77777777" w:rsidR="004818A5" w:rsidRDefault="00000000">
            <w:pPr>
              <w:pStyle w:val="Compact"/>
              <w:jc w:val="right"/>
            </w:pPr>
            <w:r>
              <w:rPr>
                <w:b/>
                <w:bCs/>
              </w:rPr>
              <w:t>$24B</w:t>
            </w:r>
          </w:p>
        </w:tc>
        <w:tc>
          <w:tcPr>
            <w:tcW w:w="1218" w:type="dxa"/>
          </w:tcPr>
          <w:p w14:paraId="415C2984" w14:textId="77777777" w:rsidR="004818A5" w:rsidRDefault="00000000">
            <w:pPr>
              <w:pStyle w:val="Compact"/>
              <w:jc w:val="right"/>
            </w:pPr>
            <w:r>
              <w:rPr>
                <w:b/>
                <w:bCs/>
              </w:rPr>
              <w:t>$26B</w:t>
            </w:r>
          </w:p>
        </w:tc>
        <w:tc>
          <w:tcPr>
            <w:tcW w:w="1218" w:type="dxa"/>
          </w:tcPr>
          <w:p w14:paraId="07B19170" w14:textId="77777777" w:rsidR="004818A5" w:rsidRDefault="00000000">
            <w:pPr>
              <w:pStyle w:val="Compact"/>
              <w:jc w:val="right"/>
            </w:pPr>
            <w:r>
              <w:rPr>
                <w:b/>
                <w:bCs/>
              </w:rPr>
              <w:t>$2B</w:t>
            </w:r>
          </w:p>
        </w:tc>
        <w:tc>
          <w:tcPr>
            <w:tcW w:w="1218" w:type="dxa"/>
          </w:tcPr>
          <w:p w14:paraId="4225190E" w14:textId="77777777" w:rsidR="004818A5" w:rsidRDefault="00000000">
            <w:pPr>
              <w:pStyle w:val="Compact"/>
              <w:jc w:val="right"/>
            </w:pPr>
            <w:r>
              <w:rPr>
                <w:b/>
                <w:bCs/>
              </w:rPr>
              <w:t>+$1B</w:t>
            </w:r>
            <w:r>
              <w:t xml:space="preserve"> (1 + 2 − 2)</w:t>
            </w:r>
          </w:p>
        </w:tc>
        <w:tc>
          <w:tcPr>
            <w:tcW w:w="1218" w:type="dxa"/>
          </w:tcPr>
          <w:p w14:paraId="243EFDBD" w14:textId="77777777" w:rsidR="004818A5" w:rsidRDefault="00000000">
            <w:pPr>
              <w:pStyle w:val="Compact"/>
              <w:jc w:val="right"/>
            </w:pPr>
            <w:r>
              <w:rPr>
                <w:b/>
                <w:bCs/>
              </w:rPr>
              <w:t>−$3B</w:t>
            </w:r>
          </w:p>
        </w:tc>
      </w:tr>
    </w:tbl>
    <w:p w14:paraId="49967DD3" w14:textId="77777777" w:rsidR="004818A5" w:rsidRDefault="00000000">
      <w:pPr>
        <w:pStyle w:val="BodyText"/>
      </w:pPr>
      <w:r>
        <w:rPr>
          <w:b/>
          <w:bCs/>
        </w:rPr>
        <w:t>Notes:</w:t>
      </w:r>
      <w:r>
        <w:t xml:space="preserve"> - Offsets combine (a) reduced means‑tested spending as real incomes rise, (b) higher income/payroll/consumption tax intake from wage gains and volumes, and (c) a small state sales‑tax drag where price level falls faster than volume rises. - Credits are only earned for </w:t>
      </w:r>
      <w:r>
        <w:rPr>
          <w:b/>
          <w:bCs/>
        </w:rPr>
        <w:t>Qualified Efficiency Actions</w:t>
      </w:r>
      <w:r>
        <w:t xml:space="preserve"> (frontline wage increases, consumer rebates, profit/equity sharing, UTA top‑ups) and are capped at </w:t>
      </w:r>
      <w:r>
        <w:rPr>
          <w:b/>
          <w:bCs/>
        </w:rPr>
        <w:t>≤50% of corporate income‑tax liability</w:t>
      </w:r>
      <w:r>
        <w:t>.</w:t>
      </w:r>
    </w:p>
    <w:p w14:paraId="2D65EFA7" w14:textId="77777777" w:rsidR="004818A5" w:rsidRDefault="00000000">
      <w:pPr>
        <w:pStyle w:val="Heading3"/>
      </w:pPr>
      <w:bookmarkStart w:id="52" w:name="autotune-rule-keeps-finances-nonnegative"/>
      <w:r>
        <w:t>Auto‑Tune Rule (Keeps Finances Non‑Negative)</w:t>
      </w:r>
    </w:p>
    <w:p w14:paraId="3AA7B801" w14:textId="77777777" w:rsidR="004818A5" w:rsidRDefault="00000000">
      <w:pPr>
        <w:pStyle w:val="FirstParagraph"/>
      </w:pPr>
      <w:r>
        <w:t xml:space="preserve">If the </w:t>
      </w:r>
      <w:r>
        <w:rPr>
          <w:b/>
          <w:bCs/>
        </w:rPr>
        <w:t>rolling 4‑quarter fiscal balance &lt; $0</w:t>
      </w:r>
      <w:r>
        <w:t xml:space="preserve">: 1. </w:t>
      </w:r>
      <w:r>
        <w:rPr>
          <w:b/>
          <w:bCs/>
        </w:rPr>
        <w:t>Option A:</w:t>
      </w:r>
      <w:r>
        <w:t xml:space="preserve"> Increase levy by </w:t>
      </w:r>
      <w:r>
        <w:rPr>
          <w:b/>
          <w:bCs/>
        </w:rPr>
        <w:t>+0.05 percentage points</w:t>
      </w:r>
      <w:r>
        <w:t xml:space="preserve"> (e.g., 0.50% → 0.55%).</w:t>
      </w:r>
      <w:r>
        <w:br/>
        <w:t xml:space="preserve">2. </w:t>
      </w:r>
      <w:r>
        <w:rPr>
          <w:b/>
          <w:bCs/>
        </w:rPr>
        <w:t>Option B:</w:t>
      </w:r>
      <w:r>
        <w:t xml:space="preserve"> Reduce credit stack cap by </w:t>
      </w:r>
      <w:r>
        <w:rPr>
          <w:b/>
          <w:bCs/>
        </w:rPr>
        <w:t>−5 percentage points</w:t>
      </w:r>
      <w:r>
        <w:t xml:space="preserve"> (e.g., 50% → 45%).</w:t>
      </w:r>
      <w:r>
        <w:br/>
        <w:t xml:space="preserve">3. </w:t>
      </w:r>
      <w:r>
        <w:rPr>
          <w:b/>
          <w:bCs/>
        </w:rPr>
        <w:t>Option C:</w:t>
      </w:r>
      <w:r>
        <w:t xml:space="preserve"> Split the adjustment (e.g., +0.025 pp levy </w:t>
      </w:r>
      <w:r>
        <w:rPr>
          <w:b/>
          <w:bCs/>
        </w:rPr>
        <w:t>and</w:t>
      </w:r>
      <w:r>
        <w:t xml:space="preserve"> −2.5 pp cap).</w:t>
      </w:r>
    </w:p>
    <w:p w14:paraId="4F4ACC23" w14:textId="77777777" w:rsidR="004818A5" w:rsidRDefault="00000000">
      <w:pPr>
        <w:pStyle w:val="BodyText"/>
      </w:pPr>
      <w:r>
        <w:rPr>
          <w:b/>
          <w:bCs/>
        </w:rPr>
        <w:lastRenderedPageBreak/>
        <w:t>Trigger &amp; governance:</w:t>
      </w:r>
      <w:r>
        <w:t xml:space="preserve"> Auto‑tune evaluated quarterly by Treasury; adjustments apply prospectively for the next 4 quarters unless the balance returns ≥$0 two quarters in a row.</w:t>
      </w:r>
    </w:p>
    <w:p w14:paraId="03864963" w14:textId="77777777" w:rsidR="004818A5" w:rsidRDefault="00000000">
      <w:pPr>
        <w:pStyle w:val="Heading3"/>
      </w:pPr>
      <w:bookmarkStart w:id="53" w:name="X909bbf34c665327d790e4d3a917335dfead5fd5"/>
      <w:bookmarkEnd w:id="52"/>
      <w:r>
        <w:t>Parameter Dials &amp; Assumptions (for reviewers)</w:t>
      </w:r>
    </w:p>
    <w:p w14:paraId="51BA194E" w14:textId="77777777" w:rsidR="004818A5" w:rsidRDefault="00000000">
      <w:pPr>
        <w:pStyle w:val="Compact"/>
        <w:numPr>
          <w:ilvl w:val="0"/>
          <w:numId w:val="29"/>
        </w:numPr>
      </w:pPr>
      <w:r>
        <w:rPr>
          <w:b/>
          <w:bCs/>
        </w:rPr>
        <w:t>Levy band:</w:t>
      </w:r>
      <w:r>
        <w:t xml:space="preserve"> 0.45–0.60% on receipts &gt;$50M; compute‑tax kicker may supplement in low‑receipt periods.</w:t>
      </w:r>
      <w:r>
        <w:br/>
      </w:r>
    </w:p>
    <w:p w14:paraId="6B69A3F8" w14:textId="77777777" w:rsidR="004818A5" w:rsidRDefault="00000000">
      <w:pPr>
        <w:pStyle w:val="Compact"/>
        <w:numPr>
          <w:ilvl w:val="0"/>
          <w:numId w:val="29"/>
        </w:numPr>
      </w:pPr>
      <w:r>
        <w:rPr>
          <w:b/>
          <w:bCs/>
        </w:rPr>
        <w:t>Credit mix:</w:t>
      </w:r>
      <w:r>
        <w:t xml:space="preserve"> Favor wage‑linked credits when CPI is soft to support tax buoyancy; tilt toward rebates when inflation is elevated.</w:t>
      </w:r>
      <w:r>
        <w:br/>
      </w:r>
    </w:p>
    <w:p w14:paraId="4EC44ABE" w14:textId="77777777" w:rsidR="004818A5" w:rsidRDefault="00000000">
      <w:pPr>
        <w:pStyle w:val="Compact"/>
        <w:numPr>
          <w:ilvl w:val="0"/>
          <w:numId w:val="29"/>
        </w:numPr>
      </w:pPr>
      <w:r>
        <w:rPr>
          <w:b/>
          <w:bCs/>
        </w:rPr>
        <w:t>Elasticities:</w:t>
      </w:r>
      <w:r>
        <w:t xml:space="preserve"> Price pass‑through/volume response kept conservative; stronger demand response would raise the Offsets line.</w:t>
      </w:r>
      <w:r>
        <w:br/>
      </w:r>
    </w:p>
    <w:p w14:paraId="5B74395B" w14:textId="77777777" w:rsidR="004818A5" w:rsidRDefault="00000000">
      <w:pPr>
        <w:pStyle w:val="Compact"/>
        <w:numPr>
          <w:ilvl w:val="0"/>
          <w:numId w:val="29"/>
        </w:numPr>
      </w:pPr>
      <w:r>
        <w:rPr>
          <w:b/>
          <w:bCs/>
        </w:rPr>
        <w:t>Admin cost:</w:t>
      </w:r>
      <w:r>
        <w:t xml:space="preserve"> ~</w:t>
      </w:r>
      <w:r>
        <w:rPr>
          <w:b/>
          <w:bCs/>
        </w:rPr>
        <w:t>$2B</w:t>
      </w:r>
      <w:r>
        <w:t xml:space="preserve"> includes UTAs, reporting, audits, arbitration rails.</w:t>
      </w:r>
    </w:p>
    <w:p w14:paraId="14C94C33" w14:textId="77777777" w:rsidR="004818A5" w:rsidRDefault="00000000">
      <w:pPr>
        <w:pStyle w:val="Heading2"/>
      </w:pPr>
      <w:bookmarkStart w:id="54" w:name="X2d10905f005ae99eab63b651d71697d7eb76c28"/>
      <w:bookmarkEnd w:id="51"/>
      <w:bookmarkEnd w:id="53"/>
      <w:r>
        <w:t>Appendix E. Elasticity Assumptions &amp; Sensitivity (Short)</w:t>
      </w:r>
    </w:p>
    <w:p w14:paraId="097D08D6" w14:textId="77777777" w:rsidR="004818A5" w:rsidRDefault="00000000">
      <w:pPr>
        <w:pStyle w:val="FirstParagraph"/>
      </w:pPr>
      <w:r>
        <w:rPr>
          <w:b/>
          <w:bCs/>
        </w:rPr>
        <w:t>Purpose:</w:t>
      </w:r>
      <w:r>
        <w:t xml:space="preserve"> Show how revenue offsets in Appendix D are derived from simple, transparent elasticities and wage‑gain assumptions.</w:t>
      </w:r>
    </w:p>
    <w:p w14:paraId="1CC8B816" w14:textId="77777777" w:rsidR="004818A5" w:rsidRDefault="00000000">
      <w:pPr>
        <w:pStyle w:val="Heading3"/>
      </w:pPr>
      <w:bookmarkStart w:id="55" w:name="e.1-core-assumptions"/>
      <w:r>
        <w:t>E.1 Core Assumptions</w:t>
      </w:r>
    </w:p>
    <w:p w14:paraId="5B4ADC43" w14:textId="77777777" w:rsidR="004818A5" w:rsidRDefault="00000000">
      <w:pPr>
        <w:pStyle w:val="Compact"/>
        <w:numPr>
          <w:ilvl w:val="0"/>
          <w:numId w:val="30"/>
        </w:numPr>
      </w:pPr>
      <w:r>
        <w:rPr>
          <w:b/>
          <w:bCs/>
        </w:rPr>
        <w:t>Frontline covered wage base:</w:t>
      </w:r>
      <w:r>
        <w:t xml:space="preserve"> $500B (illustrative, participating sectors).</w:t>
      </w:r>
    </w:p>
    <w:p w14:paraId="61F0DFFD" w14:textId="77777777" w:rsidR="004818A5" w:rsidRDefault="00000000">
      <w:pPr>
        <w:pStyle w:val="Compact"/>
        <w:numPr>
          <w:ilvl w:val="0"/>
          <w:numId w:val="30"/>
        </w:numPr>
      </w:pPr>
      <w:r>
        <w:rPr>
          <w:b/>
          <w:bCs/>
        </w:rPr>
        <w:t>Effective tax rate on incremental wages:</w:t>
      </w:r>
      <w:r>
        <w:t xml:space="preserve"> 18–24% (combined federal income + payroll + state income).</w:t>
      </w:r>
    </w:p>
    <w:p w14:paraId="70CDCB18" w14:textId="77777777" w:rsidR="004818A5" w:rsidRDefault="00000000">
      <w:pPr>
        <w:pStyle w:val="Compact"/>
        <w:numPr>
          <w:ilvl w:val="0"/>
          <w:numId w:val="30"/>
        </w:numPr>
      </w:pPr>
      <w:r>
        <w:rPr>
          <w:b/>
          <w:bCs/>
        </w:rPr>
        <w:t>Price elasticity of demand (consumer sectors):</w:t>
      </w:r>
      <w:r>
        <w:t xml:space="preserve"> −0.3 to −1.0.</w:t>
      </w:r>
    </w:p>
    <w:p w14:paraId="21F53DEC" w14:textId="77777777" w:rsidR="004818A5" w:rsidRDefault="00000000">
      <w:pPr>
        <w:pStyle w:val="Compact"/>
        <w:numPr>
          <w:ilvl w:val="0"/>
          <w:numId w:val="30"/>
        </w:numPr>
      </w:pPr>
      <w:r>
        <w:rPr>
          <w:b/>
          <w:bCs/>
        </w:rPr>
        <w:t>Sales‑tax drag:</w:t>
      </w:r>
      <w:r>
        <w:t xml:space="preserve"> arises when nominal sales fall despite volume gains; typically small (−$0 to −$3B nationally).</w:t>
      </w:r>
    </w:p>
    <w:p w14:paraId="58555748" w14:textId="77777777" w:rsidR="004818A5" w:rsidRDefault="00000000">
      <w:pPr>
        <w:pStyle w:val="Compact"/>
        <w:numPr>
          <w:ilvl w:val="0"/>
          <w:numId w:val="30"/>
        </w:numPr>
      </w:pPr>
      <w:r>
        <w:rPr>
          <w:b/>
          <w:bCs/>
        </w:rPr>
        <w:t>Safety‑net sensitivity:</w:t>
      </w:r>
      <w:r>
        <w:t xml:space="preserve"> −$0.5B to −$8B as real incomes rise and prices fall.</w:t>
      </w:r>
    </w:p>
    <w:p w14:paraId="5D02491C" w14:textId="77777777" w:rsidR="004818A5" w:rsidRDefault="00000000">
      <w:pPr>
        <w:pStyle w:val="Heading3"/>
      </w:pPr>
      <w:bookmarkStart w:id="56" w:name="Xda55935268eac19355c4e437afc2c3c831c5df9"/>
      <w:bookmarkEnd w:id="55"/>
      <w:r>
        <w:t>E.2 Sensitivity Table — Offsets by Wage Gain &amp; Price Elasticity (Annual, $B)</w:t>
      </w:r>
    </w:p>
    <w:tbl>
      <w:tblPr>
        <w:tblStyle w:val="Table"/>
        <w:tblW w:w="5000" w:type="pct"/>
        <w:tblLayout w:type="fixed"/>
        <w:tblLook w:val="0020" w:firstRow="1" w:lastRow="0" w:firstColumn="0" w:lastColumn="0" w:noHBand="0" w:noVBand="0"/>
      </w:tblPr>
      <w:tblGrid>
        <w:gridCol w:w="667"/>
        <w:gridCol w:w="890"/>
        <w:gridCol w:w="891"/>
        <w:gridCol w:w="891"/>
        <w:gridCol w:w="891"/>
        <w:gridCol w:w="891"/>
        <w:gridCol w:w="891"/>
        <w:gridCol w:w="891"/>
        <w:gridCol w:w="891"/>
        <w:gridCol w:w="891"/>
        <w:gridCol w:w="891"/>
      </w:tblGrid>
      <w:tr w:rsidR="004818A5" w14:paraId="1965EBCF" w14:textId="77777777" w:rsidTr="004818A5">
        <w:trPr>
          <w:cnfStyle w:val="100000000000" w:firstRow="1" w:lastRow="0" w:firstColumn="0" w:lastColumn="0" w:oddVBand="0" w:evenVBand="0" w:oddHBand="0" w:evenHBand="0" w:firstRowFirstColumn="0" w:firstRowLastColumn="0" w:lastRowFirstColumn="0" w:lastRowLastColumn="0"/>
          <w:tblHeader/>
        </w:trPr>
        <w:tc>
          <w:tcPr>
            <w:tcW w:w="552" w:type="dxa"/>
          </w:tcPr>
          <w:p w14:paraId="3BBB9CDA" w14:textId="77777777" w:rsidR="004818A5" w:rsidRDefault="00000000">
            <w:pPr>
              <w:pStyle w:val="Compact"/>
            </w:pPr>
            <w:r>
              <w:t>Case</w:t>
            </w:r>
          </w:p>
        </w:tc>
        <w:tc>
          <w:tcPr>
            <w:tcW w:w="736" w:type="dxa"/>
          </w:tcPr>
          <w:p w14:paraId="277D1D54" w14:textId="77777777" w:rsidR="004818A5" w:rsidRDefault="00000000">
            <w:pPr>
              <w:pStyle w:val="Compact"/>
              <w:jc w:val="right"/>
            </w:pPr>
            <w:r>
              <w:t>Wage gain (frontline)</w:t>
            </w:r>
          </w:p>
        </w:tc>
        <w:tc>
          <w:tcPr>
            <w:tcW w:w="736" w:type="dxa"/>
          </w:tcPr>
          <w:p w14:paraId="05DAF9F5" w14:textId="77777777" w:rsidR="004818A5" w:rsidRDefault="00000000">
            <w:pPr>
              <w:pStyle w:val="Compact"/>
              <w:jc w:val="right"/>
            </w:pPr>
            <w:r>
              <w:t>Wage tax lift</w:t>
            </w:r>
          </w:p>
        </w:tc>
        <w:tc>
          <w:tcPr>
            <w:tcW w:w="736" w:type="dxa"/>
          </w:tcPr>
          <w:p w14:paraId="3CB3E8B2" w14:textId="77777777" w:rsidR="004818A5" w:rsidRDefault="00000000">
            <w:pPr>
              <w:pStyle w:val="Compact"/>
              <w:jc w:val="right"/>
            </w:pPr>
            <w:r>
              <w:t>Price drop</w:t>
            </w:r>
          </w:p>
        </w:tc>
        <w:tc>
          <w:tcPr>
            <w:tcW w:w="736" w:type="dxa"/>
          </w:tcPr>
          <w:p w14:paraId="5CF2D372" w14:textId="77777777" w:rsidR="004818A5" w:rsidRDefault="00000000">
            <w:pPr>
              <w:pStyle w:val="Compact"/>
              <w:jc w:val="right"/>
            </w:pPr>
            <w:r>
              <w:t>Demand elasticity</w:t>
            </w:r>
          </w:p>
        </w:tc>
        <w:tc>
          <w:tcPr>
            <w:tcW w:w="736" w:type="dxa"/>
          </w:tcPr>
          <w:p w14:paraId="6AA6B3FF" w14:textId="77777777" w:rsidR="004818A5" w:rsidRDefault="00000000">
            <w:pPr>
              <w:pStyle w:val="Compact"/>
              <w:jc w:val="right"/>
            </w:pPr>
            <w:r>
              <w:t>Volume change</w:t>
            </w:r>
          </w:p>
        </w:tc>
        <w:tc>
          <w:tcPr>
            <w:tcW w:w="736" w:type="dxa"/>
          </w:tcPr>
          <w:p w14:paraId="185439F2" w14:textId="77777777" w:rsidR="004818A5" w:rsidRDefault="00000000">
            <w:pPr>
              <w:pStyle w:val="Compact"/>
              <w:jc w:val="right"/>
            </w:pPr>
            <w:r>
              <w:t>Nominal sales change</w:t>
            </w:r>
          </w:p>
        </w:tc>
        <w:tc>
          <w:tcPr>
            <w:tcW w:w="736" w:type="dxa"/>
          </w:tcPr>
          <w:p w14:paraId="723FB980" w14:textId="77777777" w:rsidR="004818A5" w:rsidRDefault="00000000">
            <w:pPr>
              <w:pStyle w:val="Compact"/>
              <w:jc w:val="right"/>
            </w:pPr>
            <w:r>
              <w:t>Consumption‑tax lift</w:t>
            </w:r>
          </w:p>
        </w:tc>
        <w:tc>
          <w:tcPr>
            <w:tcW w:w="736" w:type="dxa"/>
          </w:tcPr>
          <w:p w14:paraId="11BC535F" w14:textId="77777777" w:rsidR="004818A5" w:rsidRDefault="00000000">
            <w:pPr>
              <w:pStyle w:val="Compact"/>
              <w:jc w:val="right"/>
            </w:pPr>
            <w:r>
              <w:t>Safety‑net savings</w:t>
            </w:r>
          </w:p>
        </w:tc>
        <w:tc>
          <w:tcPr>
            <w:tcW w:w="736" w:type="dxa"/>
          </w:tcPr>
          <w:p w14:paraId="00D71E56" w14:textId="77777777" w:rsidR="004818A5" w:rsidRDefault="00000000">
            <w:pPr>
              <w:pStyle w:val="Compact"/>
              <w:jc w:val="right"/>
            </w:pPr>
            <w:r>
              <w:t>State sales‑tax drag</w:t>
            </w:r>
          </w:p>
        </w:tc>
        <w:tc>
          <w:tcPr>
            <w:tcW w:w="736" w:type="dxa"/>
          </w:tcPr>
          <w:p w14:paraId="57B36CE8" w14:textId="77777777" w:rsidR="004818A5" w:rsidRDefault="00000000">
            <w:pPr>
              <w:pStyle w:val="Compact"/>
              <w:jc w:val="right"/>
            </w:pPr>
            <w:r>
              <w:rPr>
                <w:b/>
                <w:bCs/>
              </w:rPr>
              <w:t>Total Offsets</w:t>
            </w:r>
          </w:p>
        </w:tc>
      </w:tr>
      <w:tr w:rsidR="004818A5" w14:paraId="5C42257D" w14:textId="77777777">
        <w:tc>
          <w:tcPr>
            <w:tcW w:w="552" w:type="dxa"/>
          </w:tcPr>
          <w:p w14:paraId="761415E0" w14:textId="77777777" w:rsidR="004818A5" w:rsidRDefault="00000000">
            <w:pPr>
              <w:pStyle w:val="Compact"/>
            </w:pPr>
            <w:r>
              <w:rPr>
                <w:b/>
                <w:bCs/>
              </w:rPr>
              <w:t>Low response</w:t>
            </w:r>
          </w:p>
        </w:tc>
        <w:tc>
          <w:tcPr>
            <w:tcW w:w="736" w:type="dxa"/>
          </w:tcPr>
          <w:p w14:paraId="7B981C9F" w14:textId="77777777" w:rsidR="004818A5" w:rsidRDefault="00000000">
            <w:pPr>
              <w:pStyle w:val="Compact"/>
              <w:jc w:val="right"/>
            </w:pPr>
            <w:r>
              <w:rPr>
                <w:b/>
                <w:bCs/>
              </w:rPr>
              <w:t>+5%</w:t>
            </w:r>
          </w:p>
        </w:tc>
        <w:tc>
          <w:tcPr>
            <w:tcW w:w="736" w:type="dxa"/>
          </w:tcPr>
          <w:p w14:paraId="158EEF7C" w14:textId="77777777" w:rsidR="004818A5" w:rsidRDefault="00000000">
            <w:pPr>
              <w:pStyle w:val="Compact"/>
              <w:jc w:val="right"/>
            </w:pPr>
            <w:r>
              <w:rPr>
                <w:b/>
                <w:bCs/>
              </w:rPr>
              <w:t>+$5.0</w:t>
            </w:r>
          </w:p>
        </w:tc>
        <w:tc>
          <w:tcPr>
            <w:tcW w:w="736" w:type="dxa"/>
          </w:tcPr>
          <w:p w14:paraId="278614EE" w14:textId="77777777" w:rsidR="004818A5" w:rsidRDefault="00000000">
            <w:pPr>
              <w:pStyle w:val="Compact"/>
              <w:jc w:val="right"/>
            </w:pPr>
            <w:r>
              <w:rPr>
                <w:b/>
                <w:bCs/>
              </w:rPr>
              <w:t>−3%</w:t>
            </w:r>
          </w:p>
        </w:tc>
        <w:tc>
          <w:tcPr>
            <w:tcW w:w="736" w:type="dxa"/>
          </w:tcPr>
          <w:p w14:paraId="5DDDC0BB" w14:textId="77777777" w:rsidR="004818A5" w:rsidRDefault="00000000">
            <w:pPr>
              <w:pStyle w:val="Compact"/>
              <w:jc w:val="right"/>
            </w:pPr>
            <w:r>
              <w:rPr>
                <w:b/>
                <w:bCs/>
              </w:rPr>
              <w:t>−0.6</w:t>
            </w:r>
          </w:p>
        </w:tc>
        <w:tc>
          <w:tcPr>
            <w:tcW w:w="736" w:type="dxa"/>
          </w:tcPr>
          <w:p w14:paraId="1F37B0B5" w14:textId="77777777" w:rsidR="004818A5" w:rsidRDefault="00000000">
            <w:pPr>
              <w:pStyle w:val="Compact"/>
              <w:jc w:val="right"/>
            </w:pPr>
            <w:r>
              <w:rPr>
                <w:b/>
                <w:bCs/>
              </w:rPr>
              <w:t>+1.8%</w:t>
            </w:r>
          </w:p>
        </w:tc>
        <w:tc>
          <w:tcPr>
            <w:tcW w:w="736" w:type="dxa"/>
          </w:tcPr>
          <w:p w14:paraId="3682E360" w14:textId="77777777" w:rsidR="004818A5" w:rsidRDefault="00000000">
            <w:pPr>
              <w:pStyle w:val="Compact"/>
              <w:jc w:val="right"/>
            </w:pPr>
            <w:r>
              <w:rPr>
                <w:b/>
                <w:bCs/>
              </w:rPr>
              <w:t>−1.2%</w:t>
            </w:r>
          </w:p>
        </w:tc>
        <w:tc>
          <w:tcPr>
            <w:tcW w:w="736" w:type="dxa"/>
          </w:tcPr>
          <w:p w14:paraId="5659A8A0" w14:textId="77777777" w:rsidR="004818A5" w:rsidRDefault="00000000">
            <w:pPr>
              <w:pStyle w:val="Compact"/>
              <w:jc w:val="right"/>
            </w:pPr>
            <w:r>
              <w:rPr>
                <w:b/>
                <w:bCs/>
              </w:rPr>
              <w:t>+$2.0</w:t>
            </w:r>
          </w:p>
        </w:tc>
        <w:tc>
          <w:tcPr>
            <w:tcW w:w="736" w:type="dxa"/>
          </w:tcPr>
          <w:p w14:paraId="48A6D84B" w14:textId="77777777" w:rsidR="004818A5" w:rsidRDefault="00000000">
            <w:pPr>
              <w:pStyle w:val="Compact"/>
              <w:jc w:val="right"/>
            </w:pPr>
            <w:r>
              <w:rPr>
                <w:b/>
                <w:bCs/>
              </w:rPr>
              <w:t>+$3.0</w:t>
            </w:r>
          </w:p>
        </w:tc>
        <w:tc>
          <w:tcPr>
            <w:tcW w:w="736" w:type="dxa"/>
          </w:tcPr>
          <w:p w14:paraId="43C48ABD" w14:textId="77777777" w:rsidR="004818A5" w:rsidRDefault="00000000">
            <w:pPr>
              <w:pStyle w:val="Compact"/>
              <w:jc w:val="right"/>
            </w:pPr>
            <w:r>
              <w:rPr>
                <w:b/>
                <w:bCs/>
              </w:rPr>
              <w:t>−$1.0</w:t>
            </w:r>
          </w:p>
        </w:tc>
        <w:tc>
          <w:tcPr>
            <w:tcW w:w="736" w:type="dxa"/>
          </w:tcPr>
          <w:p w14:paraId="660B582A" w14:textId="77777777" w:rsidR="004818A5" w:rsidRDefault="00000000">
            <w:pPr>
              <w:pStyle w:val="Compact"/>
              <w:jc w:val="right"/>
            </w:pPr>
            <w:r>
              <w:rPr>
                <w:b/>
                <w:bCs/>
              </w:rPr>
              <w:t>+$9.0</w:t>
            </w:r>
          </w:p>
        </w:tc>
      </w:tr>
      <w:tr w:rsidR="004818A5" w14:paraId="7BD50F7C" w14:textId="77777777">
        <w:tc>
          <w:tcPr>
            <w:tcW w:w="552" w:type="dxa"/>
          </w:tcPr>
          <w:p w14:paraId="70A50B44" w14:textId="77777777" w:rsidR="004818A5" w:rsidRDefault="00000000">
            <w:pPr>
              <w:pStyle w:val="Compact"/>
            </w:pPr>
            <w:r>
              <w:rPr>
                <w:b/>
                <w:bCs/>
              </w:rPr>
              <w:t>Baseline</w:t>
            </w:r>
          </w:p>
        </w:tc>
        <w:tc>
          <w:tcPr>
            <w:tcW w:w="736" w:type="dxa"/>
          </w:tcPr>
          <w:p w14:paraId="06AE2E43" w14:textId="77777777" w:rsidR="004818A5" w:rsidRDefault="00000000">
            <w:pPr>
              <w:pStyle w:val="Compact"/>
              <w:jc w:val="right"/>
            </w:pPr>
            <w:r>
              <w:rPr>
                <w:b/>
                <w:bCs/>
              </w:rPr>
              <w:t>+8%</w:t>
            </w:r>
          </w:p>
        </w:tc>
        <w:tc>
          <w:tcPr>
            <w:tcW w:w="736" w:type="dxa"/>
          </w:tcPr>
          <w:p w14:paraId="63316BDF" w14:textId="77777777" w:rsidR="004818A5" w:rsidRDefault="00000000">
            <w:pPr>
              <w:pStyle w:val="Compact"/>
              <w:jc w:val="right"/>
            </w:pPr>
            <w:r>
              <w:rPr>
                <w:b/>
                <w:bCs/>
              </w:rPr>
              <w:t>+$8.8</w:t>
            </w:r>
          </w:p>
        </w:tc>
        <w:tc>
          <w:tcPr>
            <w:tcW w:w="736" w:type="dxa"/>
          </w:tcPr>
          <w:p w14:paraId="7A04384E" w14:textId="77777777" w:rsidR="004818A5" w:rsidRDefault="00000000">
            <w:pPr>
              <w:pStyle w:val="Compact"/>
              <w:jc w:val="right"/>
            </w:pPr>
            <w:r>
              <w:rPr>
                <w:b/>
                <w:bCs/>
              </w:rPr>
              <w:t>−5%</w:t>
            </w:r>
          </w:p>
        </w:tc>
        <w:tc>
          <w:tcPr>
            <w:tcW w:w="736" w:type="dxa"/>
          </w:tcPr>
          <w:p w14:paraId="0EF0F091" w14:textId="77777777" w:rsidR="004818A5" w:rsidRDefault="00000000">
            <w:pPr>
              <w:pStyle w:val="Compact"/>
              <w:jc w:val="right"/>
            </w:pPr>
            <w:r>
              <w:rPr>
                <w:b/>
                <w:bCs/>
              </w:rPr>
              <w:t>−0.8</w:t>
            </w:r>
          </w:p>
        </w:tc>
        <w:tc>
          <w:tcPr>
            <w:tcW w:w="736" w:type="dxa"/>
          </w:tcPr>
          <w:p w14:paraId="4C499143" w14:textId="77777777" w:rsidR="004818A5" w:rsidRDefault="00000000">
            <w:pPr>
              <w:pStyle w:val="Compact"/>
              <w:jc w:val="right"/>
            </w:pPr>
            <w:r>
              <w:rPr>
                <w:b/>
                <w:bCs/>
              </w:rPr>
              <w:t>+4.0%</w:t>
            </w:r>
          </w:p>
        </w:tc>
        <w:tc>
          <w:tcPr>
            <w:tcW w:w="736" w:type="dxa"/>
          </w:tcPr>
          <w:p w14:paraId="3D56A616" w14:textId="77777777" w:rsidR="004818A5" w:rsidRDefault="00000000">
            <w:pPr>
              <w:pStyle w:val="Compact"/>
              <w:jc w:val="right"/>
            </w:pPr>
            <w:r>
              <w:rPr>
                <w:b/>
                <w:bCs/>
              </w:rPr>
              <w:t>−1.0%</w:t>
            </w:r>
          </w:p>
        </w:tc>
        <w:tc>
          <w:tcPr>
            <w:tcW w:w="736" w:type="dxa"/>
          </w:tcPr>
          <w:p w14:paraId="402E5F4D" w14:textId="77777777" w:rsidR="004818A5" w:rsidRDefault="00000000">
            <w:pPr>
              <w:pStyle w:val="Compact"/>
              <w:jc w:val="right"/>
            </w:pPr>
            <w:r>
              <w:rPr>
                <w:b/>
                <w:bCs/>
              </w:rPr>
              <w:t>+$4.0</w:t>
            </w:r>
          </w:p>
        </w:tc>
        <w:tc>
          <w:tcPr>
            <w:tcW w:w="736" w:type="dxa"/>
          </w:tcPr>
          <w:p w14:paraId="4E0AE77C" w14:textId="77777777" w:rsidR="004818A5" w:rsidRDefault="00000000">
            <w:pPr>
              <w:pStyle w:val="Compact"/>
              <w:jc w:val="right"/>
            </w:pPr>
            <w:r>
              <w:rPr>
                <w:b/>
                <w:bCs/>
              </w:rPr>
              <w:t>+$3.2</w:t>
            </w:r>
          </w:p>
        </w:tc>
        <w:tc>
          <w:tcPr>
            <w:tcW w:w="736" w:type="dxa"/>
          </w:tcPr>
          <w:p w14:paraId="135F6A13" w14:textId="77777777" w:rsidR="004818A5" w:rsidRDefault="00000000">
            <w:pPr>
              <w:pStyle w:val="Compact"/>
              <w:jc w:val="right"/>
            </w:pPr>
            <w:r>
              <w:rPr>
                <w:b/>
                <w:bCs/>
              </w:rPr>
              <w:t>−$2.0</w:t>
            </w:r>
          </w:p>
        </w:tc>
        <w:tc>
          <w:tcPr>
            <w:tcW w:w="736" w:type="dxa"/>
          </w:tcPr>
          <w:p w14:paraId="4E750F34" w14:textId="77777777" w:rsidR="004818A5" w:rsidRDefault="00000000">
            <w:pPr>
              <w:pStyle w:val="Compact"/>
              <w:jc w:val="right"/>
            </w:pPr>
            <w:r>
              <w:rPr>
                <w:b/>
                <w:bCs/>
              </w:rPr>
              <w:t>+$14.0</w:t>
            </w:r>
          </w:p>
        </w:tc>
      </w:tr>
      <w:tr w:rsidR="004818A5" w14:paraId="698BD518" w14:textId="77777777">
        <w:tc>
          <w:tcPr>
            <w:tcW w:w="552" w:type="dxa"/>
          </w:tcPr>
          <w:p w14:paraId="37C000D5" w14:textId="77777777" w:rsidR="004818A5" w:rsidRDefault="00000000">
            <w:pPr>
              <w:pStyle w:val="Compact"/>
            </w:pPr>
            <w:r>
              <w:rPr>
                <w:b/>
                <w:bCs/>
              </w:rPr>
              <w:lastRenderedPageBreak/>
              <w:t>High response</w:t>
            </w:r>
          </w:p>
        </w:tc>
        <w:tc>
          <w:tcPr>
            <w:tcW w:w="736" w:type="dxa"/>
          </w:tcPr>
          <w:p w14:paraId="5BECBDB9" w14:textId="77777777" w:rsidR="004818A5" w:rsidRDefault="00000000">
            <w:pPr>
              <w:pStyle w:val="Compact"/>
              <w:jc w:val="right"/>
            </w:pPr>
            <w:r>
              <w:rPr>
                <w:b/>
                <w:bCs/>
              </w:rPr>
              <w:t>+10%</w:t>
            </w:r>
          </w:p>
        </w:tc>
        <w:tc>
          <w:tcPr>
            <w:tcW w:w="736" w:type="dxa"/>
          </w:tcPr>
          <w:p w14:paraId="243753F3" w14:textId="77777777" w:rsidR="004818A5" w:rsidRDefault="00000000">
            <w:pPr>
              <w:pStyle w:val="Compact"/>
              <w:jc w:val="right"/>
            </w:pPr>
            <w:r>
              <w:rPr>
                <w:b/>
                <w:bCs/>
              </w:rPr>
              <w:t>+$12.0</w:t>
            </w:r>
          </w:p>
        </w:tc>
        <w:tc>
          <w:tcPr>
            <w:tcW w:w="736" w:type="dxa"/>
          </w:tcPr>
          <w:p w14:paraId="799C60C6" w14:textId="77777777" w:rsidR="004818A5" w:rsidRDefault="00000000">
            <w:pPr>
              <w:pStyle w:val="Compact"/>
              <w:jc w:val="right"/>
            </w:pPr>
            <w:r>
              <w:rPr>
                <w:b/>
                <w:bCs/>
              </w:rPr>
              <w:t>−6%</w:t>
            </w:r>
          </w:p>
        </w:tc>
        <w:tc>
          <w:tcPr>
            <w:tcW w:w="736" w:type="dxa"/>
          </w:tcPr>
          <w:p w14:paraId="7F39816A" w14:textId="77777777" w:rsidR="004818A5" w:rsidRDefault="00000000">
            <w:pPr>
              <w:pStyle w:val="Compact"/>
              <w:jc w:val="right"/>
            </w:pPr>
            <w:r>
              <w:rPr>
                <w:b/>
                <w:bCs/>
              </w:rPr>
              <w:t>−1.0</w:t>
            </w:r>
          </w:p>
        </w:tc>
        <w:tc>
          <w:tcPr>
            <w:tcW w:w="736" w:type="dxa"/>
          </w:tcPr>
          <w:p w14:paraId="5C26B884" w14:textId="77777777" w:rsidR="004818A5" w:rsidRDefault="00000000">
            <w:pPr>
              <w:pStyle w:val="Compact"/>
              <w:jc w:val="right"/>
            </w:pPr>
            <w:r>
              <w:rPr>
                <w:b/>
                <w:bCs/>
              </w:rPr>
              <w:t>+6.0%</w:t>
            </w:r>
          </w:p>
        </w:tc>
        <w:tc>
          <w:tcPr>
            <w:tcW w:w="736" w:type="dxa"/>
          </w:tcPr>
          <w:p w14:paraId="54818747" w14:textId="77777777" w:rsidR="004818A5" w:rsidRDefault="00000000">
            <w:pPr>
              <w:pStyle w:val="Compact"/>
              <w:jc w:val="right"/>
            </w:pPr>
            <w:r>
              <w:rPr>
                <w:b/>
                <w:bCs/>
              </w:rPr>
              <w:t>≈0.0%</w:t>
            </w:r>
          </w:p>
        </w:tc>
        <w:tc>
          <w:tcPr>
            <w:tcW w:w="736" w:type="dxa"/>
          </w:tcPr>
          <w:p w14:paraId="082F9B25" w14:textId="77777777" w:rsidR="004818A5" w:rsidRDefault="00000000">
            <w:pPr>
              <w:pStyle w:val="Compact"/>
              <w:jc w:val="right"/>
            </w:pPr>
            <w:r>
              <w:rPr>
                <w:b/>
                <w:bCs/>
              </w:rPr>
              <w:t>+$5.5</w:t>
            </w:r>
          </w:p>
        </w:tc>
        <w:tc>
          <w:tcPr>
            <w:tcW w:w="736" w:type="dxa"/>
          </w:tcPr>
          <w:p w14:paraId="255F8095" w14:textId="77777777" w:rsidR="004818A5" w:rsidRDefault="00000000">
            <w:pPr>
              <w:pStyle w:val="Compact"/>
              <w:jc w:val="right"/>
            </w:pPr>
            <w:r>
              <w:rPr>
                <w:b/>
                <w:bCs/>
              </w:rPr>
              <w:t>+$2.0</w:t>
            </w:r>
          </w:p>
        </w:tc>
        <w:tc>
          <w:tcPr>
            <w:tcW w:w="736" w:type="dxa"/>
          </w:tcPr>
          <w:p w14:paraId="5BD49910" w14:textId="77777777" w:rsidR="004818A5" w:rsidRDefault="00000000">
            <w:pPr>
              <w:pStyle w:val="Compact"/>
              <w:jc w:val="right"/>
            </w:pPr>
            <w:r>
              <w:rPr>
                <w:b/>
                <w:bCs/>
              </w:rPr>
              <w:t>−$1.5</w:t>
            </w:r>
          </w:p>
        </w:tc>
        <w:tc>
          <w:tcPr>
            <w:tcW w:w="736" w:type="dxa"/>
          </w:tcPr>
          <w:p w14:paraId="0600D8DA" w14:textId="77777777" w:rsidR="004818A5" w:rsidRDefault="00000000">
            <w:pPr>
              <w:pStyle w:val="Compact"/>
              <w:jc w:val="right"/>
            </w:pPr>
            <w:r>
              <w:rPr>
                <w:b/>
                <w:bCs/>
              </w:rPr>
              <w:t>+$18.0</w:t>
            </w:r>
          </w:p>
        </w:tc>
      </w:tr>
      <w:tr w:rsidR="004818A5" w14:paraId="5885A9D1" w14:textId="77777777">
        <w:tc>
          <w:tcPr>
            <w:tcW w:w="552" w:type="dxa"/>
          </w:tcPr>
          <w:p w14:paraId="347AF8E0" w14:textId="77777777" w:rsidR="004818A5" w:rsidRDefault="00000000">
            <w:pPr>
              <w:pStyle w:val="Compact"/>
            </w:pPr>
            <w:r>
              <w:rPr>
                <w:b/>
                <w:bCs/>
              </w:rPr>
              <w:t>Stress</w:t>
            </w:r>
          </w:p>
        </w:tc>
        <w:tc>
          <w:tcPr>
            <w:tcW w:w="736" w:type="dxa"/>
          </w:tcPr>
          <w:p w14:paraId="6CAA6637" w14:textId="77777777" w:rsidR="004818A5" w:rsidRDefault="00000000">
            <w:pPr>
              <w:pStyle w:val="Compact"/>
              <w:jc w:val="right"/>
            </w:pPr>
            <w:r>
              <w:rPr>
                <w:b/>
                <w:bCs/>
              </w:rPr>
              <w:t>+5%</w:t>
            </w:r>
          </w:p>
        </w:tc>
        <w:tc>
          <w:tcPr>
            <w:tcW w:w="736" w:type="dxa"/>
          </w:tcPr>
          <w:p w14:paraId="602038B3" w14:textId="77777777" w:rsidR="004818A5" w:rsidRDefault="00000000">
            <w:pPr>
              <w:pStyle w:val="Compact"/>
              <w:jc w:val="right"/>
            </w:pPr>
            <w:r>
              <w:rPr>
                <w:b/>
                <w:bCs/>
              </w:rPr>
              <w:t>+$4.5</w:t>
            </w:r>
          </w:p>
        </w:tc>
        <w:tc>
          <w:tcPr>
            <w:tcW w:w="736" w:type="dxa"/>
          </w:tcPr>
          <w:p w14:paraId="4F2C1A72" w14:textId="77777777" w:rsidR="004818A5" w:rsidRDefault="00000000">
            <w:pPr>
              <w:pStyle w:val="Compact"/>
              <w:jc w:val="right"/>
            </w:pPr>
            <w:r>
              <w:rPr>
                <w:b/>
                <w:bCs/>
              </w:rPr>
              <w:t>−5%</w:t>
            </w:r>
          </w:p>
        </w:tc>
        <w:tc>
          <w:tcPr>
            <w:tcW w:w="736" w:type="dxa"/>
          </w:tcPr>
          <w:p w14:paraId="69FF6512" w14:textId="77777777" w:rsidR="004818A5" w:rsidRDefault="00000000">
            <w:pPr>
              <w:pStyle w:val="Compact"/>
              <w:jc w:val="right"/>
            </w:pPr>
            <w:r>
              <w:rPr>
                <w:b/>
                <w:bCs/>
              </w:rPr>
              <w:t>−0.3</w:t>
            </w:r>
          </w:p>
        </w:tc>
        <w:tc>
          <w:tcPr>
            <w:tcW w:w="736" w:type="dxa"/>
          </w:tcPr>
          <w:p w14:paraId="05D565B2" w14:textId="77777777" w:rsidR="004818A5" w:rsidRDefault="00000000">
            <w:pPr>
              <w:pStyle w:val="Compact"/>
              <w:jc w:val="right"/>
            </w:pPr>
            <w:r>
              <w:rPr>
                <w:b/>
                <w:bCs/>
              </w:rPr>
              <w:t>+1.5%</w:t>
            </w:r>
          </w:p>
        </w:tc>
        <w:tc>
          <w:tcPr>
            <w:tcW w:w="736" w:type="dxa"/>
          </w:tcPr>
          <w:p w14:paraId="66AAFE55" w14:textId="77777777" w:rsidR="004818A5" w:rsidRDefault="00000000">
            <w:pPr>
              <w:pStyle w:val="Compact"/>
              <w:jc w:val="right"/>
            </w:pPr>
            <w:r>
              <w:rPr>
                <w:b/>
                <w:bCs/>
              </w:rPr>
              <w:t>−3.5%</w:t>
            </w:r>
          </w:p>
        </w:tc>
        <w:tc>
          <w:tcPr>
            <w:tcW w:w="736" w:type="dxa"/>
          </w:tcPr>
          <w:p w14:paraId="48EBE436" w14:textId="77777777" w:rsidR="004818A5" w:rsidRDefault="00000000">
            <w:pPr>
              <w:pStyle w:val="Compact"/>
              <w:jc w:val="right"/>
            </w:pPr>
            <w:r>
              <w:rPr>
                <w:b/>
                <w:bCs/>
              </w:rPr>
              <w:t>+$1.0</w:t>
            </w:r>
          </w:p>
        </w:tc>
        <w:tc>
          <w:tcPr>
            <w:tcW w:w="736" w:type="dxa"/>
          </w:tcPr>
          <w:p w14:paraId="1C9EC396" w14:textId="77777777" w:rsidR="004818A5" w:rsidRDefault="00000000">
            <w:pPr>
              <w:pStyle w:val="Compact"/>
              <w:jc w:val="right"/>
            </w:pPr>
            <w:r>
              <w:rPr>
                <w:b/>
                <w:bCs/>
              </w:rPr>
              <w:t>+$0.5</w:t>
            </w:r>
          </w:p>
        </w:tc>
        <w:tc>
          <w:tcPr>
            <w:tcW w:w="736" w:type="dxa"/>
          </w:tcPr>
          <w:p w14:paraId="11C20E69" w14:textId="77777777" w:rsidR="004818A5" w:rsidRDefault="00000000">
            <w:pPr>
              <w:pStyle w:val="Compact"/>
              <w:jc w:val="right"/>
            </w:pPr>
            <w:r>
              <w:rPr>
                <w:b/>
                <w:bCs/>
              </w:rPr>
              <w:t>−$2.5</w:t>
            </w:r>
          </w:p>
        </w:tc>
        <w:tc>
          <w:tcPr>
            <w:tcW w:w="736" w:type="dxa"/>
          </w:tcPr>
          <w:p w14:paraId="5CAF9F78" w14:textId="77777777" w:rsidR="004818A5" w:rsidRDefault="00000000">
            <w:pPr>
              <w:pStyle w:val="Compact"/>
              <w:jc w:val="right"/>
            </w:pPr>
            <w:r>
              <w:rPr>
                <w:b/>
                <w:bCs/>
              </w:rPr>
              <w:t>+$3.5</w:t>
            </w:r>
          </w:p>
        </w:tc>
      </w:tr>
    </w:tbl>
    <w:p w14:paraId="1AD08DFF" w14:textId="77777777" w:rsidR="004818A5" w:rsidRDefault="00000000">
      <w:pPr>
        <w:pStyle w:val="BodyText"/>
      </w:pPr>
      <w:r>
        <w:rPr>
          <w:b/>
          <w:bCs/>
        </w:rPr>
        <w:t>Notes:</w:t>
      </w:r>
      <w:r>
        <w:t xml:space="preserve"> - Wage tax lift = (frontline wage base × wage gain) × effective tax rate.</w:t>
      </w:r>
      <w:r>
        <w:br/>
        <w:t>- Consumption‑tax lift reflects higher volumes and real income; state drag captures nominal price declines where volumes do not fully offset.</w:t>
      </w:r>
      <w:r>
        <w:br/>
        <w:t>- Totals align with Appendix D’s Offsets lines (conservative ≈ $9B; baseline ≈ $14B; high ≈ $19B; stress ≈ ~$1–4B).</w:t>
      </w:r>
      <w:r>
        <w:br/>
        <w:t xml:space="preserve">- These are </w:t>
      </w:r>
      <w:r>
        <w:rPr>
          <w:b/>
          <w:bCs/>
        </w:rPr>
        <w:t>illustrative</w:t>
      </w:r>
      <w:r>
        <w:t>; users can plug in sector‑specific wage bases and tax rates to localize results.</w:t>
      </w:r>
    </w:p>
    <w:p w14:paraId="4DE425A9" w14:textId="77777777" w:rsidR="004818A5" w:rsidRDefault="00000000">
      <w:pPr>
        <w:pStyle w:val="Heading2"/>
      </w:pPr>
      <w:bookmarkStart w:id="57" w:name="X87a7ae7ea3d2366c74379d0a1261ce40b1197c9"/>
      <w:bookmarkEnd w:id="54"/>
      <w:bookmarkEnd w:id="56"/>
      <w:r>
        <w:t>Appendix F. Tax Base Shift Analysis (Near‑Term Revenue Effects)</w:t>
      </w:r>
    </w:p>
    <w:p w14:paraId="44859CCF" w14:textId="77777777" w:rsidR="004818A5" w:rsidRDefault="00000000">
      <w:pPr>
        <w:pStyle w:val="FirstParagraph"/>
      </w:pPr>
      <w:r>
        <w:rPr>
          <w:b/>
          <w:bCs/>
        </w:rPr>
        <w:t>Objective:</w:t>
      </w:r>
      <w:r>
        <w:t xml:space="preserve"> quantify how shifting AI efficiency gains from retained corporate profit to </w:t>
      </w:r>
      <w:r>
        <w:rPr>
          <w:b/>
          <w:bCs/>
        </w:rPr>
        <w:t>frontline wages</w:t>
      </w:r>
      <w:r>
        <w:t xml:space="preserve">, </w:t>
      </w:r>
      <w:r>
        <w:rPr>
          <w:b/>
          <w:bCs/>
        </w:rPr>
        <w:t>consumer rebates</w:t>
      </w:r>
      <w:r>
        <w:t xml:space="preserve">, and </w:t>
      </w:r>
      <w:r>
        <w:rPr>
          <w:b/>
          <w:bCs/>
        </w:rPr>
        <w:t>SMB income</w:t>
      </w:r>
      <w:r>
        <w:t xml:space="preserve"> affects public revenues. Figures are illustrative and meant to show orders of magnitude for reviewers.</w:t>
      </w:r>
    </w:p>
    <w:p w14:paraId="54DD97ED" w14:textId="77777777" w:rsidR="004818A5" w:rsidRDefault="00000000">
      <w:pPr>
        <w:pStyle w:val="Heading3"/>
      </w:pPr>
      <w:bookmarkStart w:id="58" w:name="X6dbba2920f7e4057ad7d370142e849f7fbb384b"/>
      <w:r>
        <w:t>F.1 Effective Rate Assumptions (Illustrative)</w:t>
      </w:r>
    </w:p>
    <w:p w14:paraId="541A3A0F" w14:textId="77777777" w:rsidR="004818A5" w:rsidRDefault="00000000">
      <w:pPr>
        <w:pStyle w:val="Compact"/>
        <w:numPr>
          <w:ilvl w:val="0"/>
          <w:numId w:val="31"/>
        </w:numPr>
      </w:pPr>
      <w:r>
        <w:rPr>
          <w:b/>
          <w:bCs/>
        </w:rPr>
        <w:t>Corporate income tax (effective):</w:t>
      </w:r>
      <w:r>
        <w:t xml:space="preserve"> 15% of incremental profit (post‑planning, below the 21% statutory).</w:t>
      </w:r>
    </w:p>
    <w:p w14:paraId="0D323EEC" w14:textId="77777777" w:rsidR="004818A5" w:rsidRDefault="00000000">
      <w:pPr>
        <w:pStyle w:val="Compact"/>
        <w:numPr>
          <w:ilvl w:val="0"/>
          <w:numId w:val="31"/>
        </w:numPr>
      </w:pPr>
      <w:r>
        <w:rPr>
          <w:b/>
          <w:bCs/>
        </w:rPr>
        <w:t>Payroll taxes (combined employer + employee):</w:t>
      </w:r>
      <w:r>
        <w:t xml:space="preserve"> 15.3% on wage base (SS + Medicare; caps acknowledged but not modeled here).</w:t>
      </w:r>
    </w:p>
    <w:p w14:paraId="5BA4A5AB" w14:textId="77777777" w:rsidR="004818A5" w:rsidRDefault="00000000">
      <w:pPr>
        <w:pStyle w:val="Compact"/>
        <w:numPr>
          <w:ilvl w:val="0"/>
          <w:numId w:val="31"/>
        </w:numPr>
      </w:pPr>
      <w:r>
        <w:rPr>
          <w:b/>
          <w:bCs/>
        </w:rPr>
        <w:t>Personal income tax (effective on incremental wages):</w:t>
      </w:r>
      <w:r>
        <w:t xml:space="preserve"> 10% (lower/middle brackets typical of frontline workforce).</w:t>
      </w:r>
    </w:p>
    <w:p w14:paraId="56748B54" w14:textId="77777777" w:rsidR="004818A5" w:rsidRDefault="00000000">
      <w:pPr>
        <w:pStyle w:val="Compact"/>
        <w:numPr>
          <w:ilvl w:val="0"/>
          <w:numId w:val="31"/>
        </w:numPr>
      </w:pPr>
      <w:r>
        <w:rPr>
          <w:b/>
          <w:bCs/>
        </w:rPr>
        <w:t>State income tax (average):</w:t>
      </w:r>
      <w:r>
        <w:t xml:space="preserve"> 3% on incremental wages.</w:t>
      </w:r>
    </w:p>
    <w:p w14:paraId="5011F92B" w14:textId="77777777" w:rsidR="004818A5" w:rsidRDefault="00000000">
      <w:pPr>
        <w:pStyle w:val="Compact"/>
        <w:numPr>
          <w:ilvl w:val="0"/>
          <w:numId w:val="31"/>
        </w:numPr>
      </w:pPr>
      <w:r>
        <w:rPr>
          <w:b/>
          <w:bCs/>
        </w:rPr>
        <w:t>Sales/consumption tax (average effective):</w:t>
      </w:r>
      <w:r>
        <w:t xml:space="preserve"> 5% applied to the consumed share.</w:t>
      </w:r>
    </w:p>
    <w:p w14:paraId="5C90D6CA" w14:textId="77777777" w:rsidR="004818A5" w:rsidRDefault="00000000">
      <w:pPr>
        <w:pStyle w:val="Compact"/>
        <w:numPr>
          <w:ilvl w:val="0"/>
          <w:numId w:val="31"/>
        </w:numPr>
      </w:pPr>
      <w:r>
        <w:rPr>
          <w:b/>
          <w:bCs/>
        </w:rPr>
        <w:t>Marginal propensity to consume (MPC):</w:t>
      </w:r>
      <w:r>
        <w:t xml:space="preserve"> 0.85 for frontline households; 0.60 for high‑income households.</w:t>
      </w:r>
    </w:p>
    <w:p w14:paraId="3B8CDA00" w14:textId="77777777" w:rsidR="004818A5" w:rsidRDefault="00000000">
      <w:pPr>
        <w:pStyle w:val="Heading3"/>
      </w:pPr>
      <w:bookmarkStart w:id="59" w:name="Xaf0689d2402e5105ac14e6af5cbcc5bb5f6830d"/>
      <w:bookmarkEnd w:id="58"/>
      <w:r>
        <w:t>F.2 Revenue per $100 of Efficiency Savings by Use (Illustrative)</w:t>
      </w:r>
    </w:p>
    <w:tbl>
      <w:tblPr>
        <w:tblStyle w:val="Table"/>
        <w:tblW w:w="5000" w:type="pct"/>
        <w:tblLayout w:type="fixed"/>
        <w:tblLook w:val="0020" w:firstRow="1" w:lastRow="0" w:firstColumn="0" w:lastColumn="0" w:noHBand="0" w:noVBand="0"/>
      </w:tblPr>
      <w:tblGrid>
        <w:gridCol w:w="2873"/>
        <w:gridCol w:w="2873"/>
        <w:gridCol w:w="3830"/>
      </w:tblGrid>
      <w:tr w:rsidR="004818A5" w14:paraId="69F2AC5D" w14:textId="77777777" w:rsidTr="004818A5">
        <w:trPr>
          <w:cnfStyle w:val="100000000000" w:firstRow="1" w:lastRow="0" w:firstColumn="0" w:lastColumn="0" w:oddVBand="0" w:evenVBand="0" w:oddHBand="0" w:evenHBand="0" w:firstRowFirstColumn="0" w:firstRowLastColumn="0" w:lastRowFirstColumn="0" w:lastRowLastColumn="0"/>
          <w:tblHeader/>
        </w:trPr>
        <w:tc>
          <w:tcPr>
            <w:tcW w:w="2376" w:type="dxa"/>
          </w:tcPr>
          <w:p w14:paraId="25940AF1" w14:textId="77777777" w:rsidR="004818A5" w:rsidRDefault="00000000">
            <w:pPr>
              <w:pStyle w:val="Compact"/>
            </w:pPr>
            <w:r>
              <w:t>Allocation of $100</w:t>
            </w:r>
          </w:p>
        </w:tc>
        <w:tc>
          <w:tcPr>
            <w:tcW w:w="2376" w:type="dxa"/>
          </w:tcPr>
          <w:p w14:paraId="3B748A54" w14:textId="77777777" w:rsidR="004818A5" w:rsidRDefault="00000000">
            <w:pPr>
              <w:pStyle w:val="Compact"/>
            </w:pPr>
            <w:r>
              <w:t>Immediate tax/fee flows</w:t>
            </w:r>
          </w:p>
        </w:tc>
        <w:tc>
          <w:tcPr>
            <w:tcW w:w="3168" w:type="dxa"/>
          </w:tcPr>
          <w:p w14:paraId="00EB9D00" w14:textId="77777777" w:rsidR="004818A5" w:rsidRDefault="00000000">
            <w:pPr>
              <w:pStyle w:val="Compact"/>
              <w:jc w:val="right"/>
            </w:pPr>
            <w:r>
              <w:t>Near‑term public revenue</w:t>
            </w:r>
          </w:p>
        </w:tc>
      </w:tr>
      <w:tr w:rsidR="004818A5" w14:paraId="5C95AD3C" w14:textId="77777777">
        <w:tc>
          <w:tcPr>
            <w:tcW w:w="2376" w:type="dxa"/>
          </w:tcPr>
          <w:p w14:paraId="1DCB61CD" w14:textId="77777777" w:rsidR="004818A5" w:rsidRDefault="00000000">
            <w:pPr>
              <w:pStyle w:val="Compact"/>
            </w:pPr>
            <w:r>
              <w:rPr>
                <w:b/>
                <w:bCs/>
              </w:rPr>
              <w:t xml:space="preserve">Retained corporate </w:t>
            </w:r>
            <w:r>
              <w:rPr>
                <w:b/>
                <w:bCs/>
              </w:rPr>
              <w:lastRenderedPageBreak/>
              <w:t>profit</w:t>
            </w:r>
          </w:p>
        </w:tc>
        <w:tc>
          <w:tcPr>
            <w:tcW w:w="2376" w:type="dxa"/>
          </w:tcPr>
          <w:p w14:paraId="1E73B7A3" w14:textId="77777777" w:rsidR="004818A5" w:rsidRDefault="00000000">
            <w:pPr>
              <w:pStyle w:val="Compact"/>
            </w:pPr>
            <w:r>
              <w:lastRenderedPageBreak/>
              <w:t>CIT at 15% eff.</w:t>
            </w:r>
          </w:p>
        </w:tc>
        <w:tc>
          <w:tcPr>
            <w:tcW w:w="3168" w:type="dxa"/>
          </w:tcPr>
          <w:p w14:paraId="5858AA9A" w14:textId="77777777" w:rsidR="004818A5" w:rsidRDefault="00000000">
            <w:pPr>
              <w:pStyle w:val="Compact"/>
              <w:jc w:val="right"/>
            </w:pPr>
            <w:r>
              <w:rPr>
                <w:b/>
                <w:bCs/>
              </w:rPr>
              <w:t>$15</w:t>
            </w:r>
          </w:p>
        </w:tc>
      </w:tr>
      <w:tr w:rsidR="004818A5" w14:paraId="4488F632" w14:textId="77777777">
        <w:tc>
          <w:tcPr>
            <w:tcW w:w="2376" w:type="dxa"/>
          </w:tcPr>
          <w:p w14:paraId="7523C816" w14:textId="77777777" w:rsidR="004818A5" w:rsidRDefault="00000000">
            <w:pPr>
              <w:pStyle w:val="Compact"/>
            </w:pPr>
            <w:r>
              <w:rPr>
                <w:b/>
                <w:bCs/>
              </w:rPr>
              <w:t>Frontline wages</w:t>
            </w:r>
          </w:p>
        </w:tc>
        <w:tc>
          <w:tcPr>
            <w:tcW w:w="2376" w:type="dxa"/>
          </w:tcPr>
          <w:p w14:paraId="78BFE668" w14:textId="77777777" w:rsidR="004818A5" w:rsidRDefault="00000000">
            <w:pPr>
              <w:pStyle w:val="Compact"/>
            </w:pPr>
            <w:r>
              <w:t>Payroll 15.3 + PIT 10 + State 3 + Sales tax on $85 consumption × 5%</w:t>
            </w:r>
          </w:p>
        </w:tc>
        <w:tc>
          <w:tcPr>
            <w:tcW w:w="3168" w:type="dxa"/>
          </w:tcPr>
          <w:p w14:paraId="74F70BB4" w14:textId="77777777" w:rsidR="004818A5" w:rsidRDefault="00000000">
            <w:pPr>
              <w:pStyle w:val="Compact"/>
              <w:jc w:val="right"/>
            </w:pPr>
            <w:r>
              <w:rPr>
                <w:b/>
                <w:bCs/>
              </w:rPr>
              <w:t>≈ $15.3 + $10 + $3 + $4.25 = $32.55</w:t>
            </w:r>
          </w:p>
        </w:tc>
      </w:tr>
      <w:tr w:rsidR="004818A5" w14:paraId="7E5DCF42" w14:textId="77777777">
        <w:tc>
          <w:tcPr>
            <w:tcW w:w="2376" w:type="dxa"/>
          </w:tcPr>
          <w:p w14:paraId="5559B51A" w14:textId="77777777" w:rsidR="004818A5" w:rsidRDefault="00000000">
            <w:pPr>
              <w:pStyle w:val="Compact"/>
            </w:pPr>
            <w:r>
              <w:rPr>
                <w:b/>
                <w:bCs/>
              </w:rPr>
              <w:t>Consumer rebate</w:t>
            </w:r>
          </w:p>
        </w:tc>
        <w:tc>
          <w:tcPr>
            <w:tcW w:w="2376" w:type="dxa"/>
          </w:tcPr>
          <w:p w14:paraId="6D859796" w14:textId="77777777" w:rsidR="004818A5" w:rsidRDefault="00000000">
            <w:pPr>
              <w:pStyle w:val="Compact"/>
            </w:pPr>
            <w:r>
              <w:t>Generally non‑taxable income; Sales tax on $85 consumption × 5%</w:t>
            </w:r>
          </w:p>
        </w:tc>
        <w:tc>
          <w:tcPr>
            <w:tcW w:w="3168" w:type="dxa"/>
          </w:tcPr>
          <w:p w14:paraId="391539F9" w14:textId="77777777" w:rsidR="004818A5" w:rsidRDefault="00000000">
            <w:pPr>
              <w:pStyle w:val="Compact"/>
              <w:jc w:val="right"/>
            </w:pPr>
            <w:r>
              <w:rPr>
                <w:b/>
                <w:bCs/>
              </w:rPr>
              <w:t>≈ $4.25</w:t>
            </w:r>
          </w:p>
        </w:tc>
      </w:tr>
      <w:tr w:rsidR="004818A5" w14:paraId="34DE06A7" w14:textId="77777777">
        <w:tc>
          <w:tcPr>
            <w:tcW w:w="2376" w:type="dxa"/>
          </w:tcPr>
          <w:p w14:paraId="6FE513F4" w14:textId="77777777" w:rsidR="004818A5" w:rsidRDefault="00000000">
            <w:pPr>
              <w:pStyle w:val="Compact"/>
            </w:pPr>
            <w:r>
              <w:rPr>
                <w:b/>
                <w:bCs/>
              </w:rPr>
              <w:t>Profit‑sharing/bonuses to workers</w:t>
            </w:r>
          </w:p>
        </w:tc>
        <w:tc>
          <w:tcPr>
            <w:tcW w:w="2376" w:type="dxa"/>
          </w:tcPr>
          <w:p w14:paraId="423B76F2" w14:textId="77777777" w:rsidR="004818A5" w:rsidRDefault="00000000">
            <w:pPr>
              <w:pStyle w:val="Compact"/>
            </w:pPr>
            <w:r>
              <w:t>Taxed as wages → same as wages row</w:t>
            </w:r>
          </w:p>
        </w:tc>
        <w:tc>
          <w:tcPr>
            <w:tcW w:w="3168" w:type="dxa"/>
          </w:tcPr>
          <w:p w14:paraId="7E4EECC4" w14:textId="77777777" w:rsidR="004818A5" w:rsidRDefault="00000000">
            <w:pPr>
              <w:pStyle w:val="Compact"/>
              <w:jc w:val="right"/>
            </w:pPr>
            <w:r>
              <w:rPr>
                <w:b/>
                <w:bCs/>
              </w:rPr>
              <w:t>≈ $32.55</w:t>
            </w:r>
          </w:p>
        </w:tc>
      </w:tr>
      <w:tr w:rsidR="004818A5" w14:paraId="623F1DDF" w14:textId="77777777">
        <w:tc>
          <w:tcPr>
            <w:tcW w:w="2376" w:type="dxa"/>
          </w:tcPr>
          <w:p w14:paraId="44B1FA6D" w14:textId="77777777" w:rsidR="004818A5" w:rsidRDefault="00000000">
            <w:pPr>
              <w:pStyle w:val="Compact"/>
            </w:pPr>
            <w:r>
              <w:rPr>
                <w:b/>
                <w:bCs/>
              </w:rPr>
              <w:t>SMB supplier payments (domestic)</w:t>
            </w:r>
          </w:p>
        </w:tc>
        <w:tc>
          <w:tcPr>
            <w:tcW w:w="2376" w:type="dxa"/>
          </w:tcPr>
          <w:p w14:paraId="7AE1058E" w14:textId="77777777" w:rsidR="004818A5" w:rsidRDefault="00000000">
            <w:pPr>
              <w:pStyle w:val="Compact"/>
            </w:pPr>
            <w:r>
              <w:t>Pass‑through/SE tax patterns vary; assume PIT 12% average + payroll SE 15.3% on labor share (50%) + sales tax on 70% MPC</w:t>
            </w:r>
          </w:p>
        </w:tc>
        <w:tc>
          <w:tcPr>
            <w:tcW w:w="3168" w:type="dxa"/>
          </w:tcPr>
          <w:p w14:paraId="259F1040" w14:textId="77777777" w:rsidR="004818A5" w:rsidRDefault="00000000">
            <w:pPr>
              <w:pStyle w:val="Compact"/>
              <w:jc w:val="right"/>
            </w:pPr>
            <w:r>
              <w:rPr>
                <w:b/>
                <w:bCs/>
              </w:rPr>
              <w:t>≈ $22–28</w:t>
            </w:r>
          </w:p>
        </w:tc>
      </w:tr>
    </w:tbl>
    <w:p w14:paraId="2A69DDD0" w14:textId="77777777" w:rsidR="004818A5" w:rsidRDefault="00000000">
      <w:pPr>
        <w:pStyle w:val="BodyText"/>
      </w:pPr>
      <w:r>
        <w:rPr>
          <w:b/>
          <w:bCs/>
        </w:rPr>
        <w:t>Read:</w:t>
      </w:r>
      <w:r>
        <w:t xml:space="preserve"> Shifting $100 from retained profit to </w:t>
      </w:r>
      <w:r>
        <w:rPr>
          <w:b/>
          <w:bCs/>
        </w:rPr>
        <w:t>wages</w:t>
      </w:r>
      <w:r>
        <w:t xml:space="preserve"> roughly </w:t>
      </w:r>
      <w:r>
        <w:rPr>
          <w:b/>
          <w:bCs/>
        </w:rPr>
        <w:t>doubles</w:t>
      </w:r>
      <w:r>
        <w:t xml:space="preserve"> near‑term public revenue (≈ $15 → ≈ $33), while </w:t>
      </w:r>
      <w:r>
        <w:rPr>
          <w:b/>
          <w:bCs/>
        </w:rPr>
        <w:t>rebates</w:t>
      </w:r>
      <w:r>
        <w:t xml:space="preserve"> mainly boost </w:t>
      </w:r>
      <w:r>
        <w:rPr>
          <w:b/>
          <w:bCs/>
        </w:rPr>
        <w:t>sales‑tax</w:t>
      </w:r>
      <w:r>
        <w:t xml:space="preserve"> until they recycle into wages/SMB receipts.</w:t>
      </w:r>
    </w:p>
    <w:p w14:paraId="3A6F3A52" w14:textId="77777777" w:rsidR="004818A5" w:rsidRDefault="00000000">
      <w:pPr>
        <w:pStyle w:val="Heading3"/>
      </w:pPr>
      <w:bookmarkStart w:id="60" w:name="X6f1474daaccdeca5dba7f6dcd0351f5b9c026d9"/>
      <w:bookmarkEnd w:id="59"/>
      <w:r>
        <w:t>F.3 Mix Scenario — Per $1B of Savings (Baseline Mix)</w:t>
      </w:r>
    </w:p>
    <w:p w14:paraId="581D39BF" w14:textId="77777777" w:rsidR="004818A5" w:rsidRDefault="00000000">
      <w:pPr>
        <w:pStyle w:val="FirstParagraph"/>
      </w:pPr>
      <w:r>
        <w:t xml:space="preserve">Assume a typical credited mix: </w:t>
      </w:r>
      <w:r>
        <w:rPr>
          <w:b/>
          <w:bCs/>
        </w:rPr>
        <w:t>50% wages</w:t>
      </w:r>
      <w:r>
        <w:t xml:space="preserve">, </w:t>
      </w:r>
      <w:r>
        <w:rPr>
          <w:b/>
          <w:bCs/>
        </w:rPr>
        <w:t>30% consumer rebates</w:t>
      </w:r>
      <w:r>
        <w:t xml:space="preserve">, </w:t>
      </w:r>
      <w:r>
        <w:rPr>
          <w:b/>
          <w:bCs/>
        </w:rPr>
        <w:t>20% retained profit</w:t>
      </w:r>
      <w:r>
        <w:t>.</w:t>
      </w:r>
    </w:p>
    <w:p w14:paraId="743D4C0B" w14:textId="77777777" w:rsidR="004818A5" w:rsidRDefault="00000000">
      <w:pPr>
        <w:pStyle w:val="Compact"/>
        <w:numPr>
          <w:ilvl w:val="0"/>
          <w:numId w:val="32"/>
        </w:numPr>
      </w:pPr>
      <w:r>
        <w:t xml:space="preserve">Wages: $500M × $32.55 per $100 → </w:t>
      </w:r>
      <w:r>
        <w:rPr>
          <w:b/>
          <w:bCs/>
        </w:rPr>
        <w:t>$162.8M</w:t>
      </w:r>
      <w:r>
        <w:br/>
      </w:r>
    </w:p>
    <w:p w14:paraId="6E9B4545" w14:textId="77777777" w:rsidR="004818A5" w:rsidRDefault="00000000">
      <w:pPr>
        <w:pStyle w:val="Compact"/>
        <w:numPr>
          <w:ilvl w:val="0"/>
          <w:numId w:val="32"/>
        </w:numPr>
      </w:pPr>
      <w:r>
        <w:t xml:space="preserve">Rebates: $300M × $4.25 per $100 → </w:t>
      </w:r>
      <w:r>
        <w:rPr>
          <w:b/>
          <w:bCs/>
        </w:rPr>
        <w:t>$12.8M</w:t>
      </w:r>
      <w:r>
        <w:br/>
      </w:r>
    </w:p>
    <w:p w14:paraId="55BD4AE5" w14:textId="77777777" w:rsidR="004818A5" w:rsidRDefault="00000000">
      <w:pPr>
        <w:pStyle w:val="Compact"/>
        <w:numPr>
          <w:ilvl w:val="0"/>
          <w:numId w:val="32"/>
        </w:numPr>
      </w:pPr>
      <w:r>
        <w:t xml:space="preserve">Retained profit: $200M × $15 per $100 → </w:t>
      </w:r>
      <w:r>
        <w:rPr>
          <w:b/>
          <w:bCs/>
        </w:rPr>
        <w:t>$30.0M</w:t>
      </w:r>
      <w:r>
        <w:br/>
      </w:r>
    </w:p>
    <w:p w14:paraId="59EF2382" w14:textId="77777777" w:rsidR="004818A5" w:rsidRDefault="00000000">
      <w:pPr>
        <w:pStyle w:val="Compact"/>
        <w:numPr>
          <w:ilvl w:val="0"/>
          <w:numId w:val="32"/>
        </w:numPr>
      </w:pPr>
      <w:r>
        <w:rPr>
          <w:b/>
          <w:bCs/>
        </w:rPr>
        <w:t>Total near‑term revenue:</w:t>
      </w:r>
      <w:r>
        <w:t xml:space="preserve"> </w:t>
      </w:r>
      <w:r>
        <w:rPr>
          <w:b/>
          <w:bCs/>
        </w:rPr>
        <w:t>≈ $205.6M per $1B</w:t>
      </w:r>
      <w:r>
        <w:t xml:space="preserve"> reallocated under this mix (vs. ≈ $150M if the entire $1B were retained profit).</w:t>
      </w:r>
    </w:p>
    <w:p w14:paraId="463216C8" w14:textId="77777777" w:rsidR="004818A5" w:rsidRDefault="00000000">
      <w:pPr>
        <w:pStyle w:val="FirstParagraph"/>
      </w:pPr>
      <w:r>
        <w:rPr>
          <w:b/>
          <w:bCs/>
        </w:rPr>
        <w:t>Implication:</w:t>
      </w:r>
      <w:r>
        <w:t xml:space="preserve"> The plan’s bias toward </w:t>
      </w:r>
      <w:r>
        <w:rPr>
          <w:b/>
          <w:bCs/>
        </w:rPr>
        <w:t>wage and profit‑sharing credits</w:t>
      </w:r>
      <w:r>
        <w:t xml:space="preserve"> is fiscally buoyant and helps keep the levy/credit system revenue‑neutral without rate hikes.</w:t>
      </w:r>
    </w:p>
    <w:p w14:paraId="0AA0C75C" w14:textId="77777777" w:rsidR="004818A5" w:rsidRDefault="00000000">
      <w:pPr>
        <w:pStyle w:val="BodyText"/>
      </w:pPr>
      <w:r>
        <w:rPr>
          <w:b/>
          <w:bCs/>
        </w:rPr>
        <w:t>Notes:</w:t>
      </w:r>
      <w:r>
        <w:t xml:space="preserve"> These are stylized averages. Real outcomes vary with wage caps, state rates, firm structure, and timing of shareholder taxes on distributions/capital gains.</w:t>
      </w:r>
    </w:p>
    <w:bookmarkEnd w:id="0"/>
    <w:bookmarkEnd w:id="57"/>
    <w:bookmarkEnd w:id="60"/>
    <w:p w14:paraId="550CB996" w14:textId="77777777" w:rsidR="004818A5" w:rsidRDefault="00000000">
      <w:pPr>
        <w:pStyle w:val="Heading1"/>
      </w:pPr>
      <w:r>
        <w:t>Appendix H. Key Stakeholders &amp; Potential Endorsements</w:t>
      </w:r>
    </w:p>
    <w:p w14:paraId="64388CED" w14:textId="77777777" w:rsidR="004818A5" w:rsidRDefault="00000000">
      <w:r>
        <w:t>These are illustrative targets; no endorsements are implied. Tailor for Wisconsin prior to outreach.</w:t>
      </w:r>
    </w:p>
    <w:p w14:paraId="68834D57" w14:textId="77777777" w:rsidR="004818A5" w:rsidRDefault="00000000">
      <w:pPr>
        <w:pStyle w:val="Heading2"/>
      </w:pPr>
      <w:r>
        <w:lastRenderedPageBreak/>
        <w:t>Consumers &amp; Households</w:t>
      </w:r>
    </w:p>
    <w:p w14:paraId="103AFC5E" w14:textId="77777777" w:rsidR="004818A5" w:rsidRDefault="00000000">
      <w:r>
        <w:t>• Consumer advocates and senior groups (e.g., AARP chapters): visible “Efficiency Rebates” on receipts lower the cost of essentials.</w:t>
      </w:r>
    </w:p>
    <w:p w14:paraId="41F05BFE" w14:textId="77777777" w:rsidR="004818A5" w:rsidRDefault="00000000">
      <w:r>
        <w:t>• Household financial advocates: lower price level and UTAs reduce reliance on emergency aid.</w:t>
      </w:r>
    </w:p>
    <w:p w14:paraId="3D0601CE" w14:textId="77777777" w:rsidR="004818A5" w:rsidRDefault="00000000">
      <w:pPr>
        <w:pStyle w:val="Heading2"/>
      </w:pPr>
      <w:r>
        <w:t>Workers &amp; Labor</w:t>
      </w:r>
    </w:p>
    <w:p w14:paraId="2A801035" w14:textId="77777777" w:rsidR="004818A5" w:rsidRDefault="00000000">
      <w:r>
        <w:t>• Frontline worker unions (e.g., SEIU, UFCW, Teamsters locals): wage credits support 5–10% raises; neutrality + fast‑track arbitration strengthen bargaining.</w:t>
      </w:r>
    </w:p>
    <w:p w14:paraId="0DFA88F7" w14:textId="77777777" w:rsidR="004818A5" w:rsidRDefault="00000000">
      <w:r>
        <w:t>• Skilled trades &amp; apprenticeship programs: UTAs can fund upskilling and credentials.</w:t>
      </w:r>
    </w:p>
    <w:p w14:paraId="5F6518B0" w14:textId="77777777" w:rsidR="004818A5" w:rsidRDefault="00000000">
      <w:pPr>
        <w:pStyle w:val="Heading2"/>
      </w:pPr>
      <w:r>
        <w:t>Business &amp; Industry</w:t>
      </w:r>
    </w:p>
    <w:p w14:paraId="4470F12D" w14:textId="77777777" w:rsidR="004818A5" w:rsidRDefault="00000000">
      <w:r>
        <w:t>• Retailers, logistics, healthcare admin networks: credits = tax relief for sharing + brand lift via Certification.</w:t>
      </w:r>
    </w:p>
    <w:p w14:paraId="3BE13200" w14:textId="77777777" w:rsidR="004818A5" w:rsidRDefault="00000000">
      <w:r>
        <w:t>• State &amp; regional chambers; small‑business alliances: UTAs seed new SMB formation; supplier payments shift dollars to Main Street.</w:t>
      </w:r>
    </w:p>
    <w:p w14:paraId="4947FDFF" w14:textId="77777777" w:rsidR="004818A5" w:rsidRDefault="00000000">
      <w:pPr>
        <w:pStyle w:val="Heading2"/>
      </w:pPr>
      <w:r>
        <w:t>Education &amp; Workforce</w:t>
      </w:r>
    </w:p>
    <w:p w14:paraId="69E7EADD" w14:textId="77777777" w:rsidR="004818A5" w:rsidRDefault="00000000">
      <w:r>
        <w:t>• Community colleges and workforce boards: train‑to‑hire cohorts linked to employer MOUs.</w:t>
      </w:r>
    </w:p>
    <w:p w14:paraId="012A0837" w14:textId="77777777" w:rsidR="004818A5" w:rsidRDefault="00000000">
      <w:r>
        <w:t>• University extension &amp; continuing education: rapid reskilling for displaced professionals.</w:t>
      </w:r>
    </w:p>
    <w:p w14:paraId="4489D6FC" w14:textId="77777777" w:rsidR="004818A5" w:rsidRDefault="00000000">
      <w:pPr>
        <w:pStyle w:val="Heading2"/>
      </w:pPr>
      <w:r>
        <w:t>Public &amp; Civic</w:t>
      </w:r>
    </w:p>
    <w:p w14:paraId="77095371" w14:textId="77777777" w:rsidR="004818A5" w:rsidRDefault="00000000">
      <w:r>
        <w:t>• State agencies (Treasury/Revenue, DWD/Workforce), municipal leaders: administer UTAs and pilot sites.</w:t>
      </w:r>
    </w:p>
    <w:p w14:paraId="3BD30FCF" w14:textId="77777777" w:rsidR="004818A5" w:rsidRDefault="00000000">
      <w:r>
        <w:t>• Veterans groups &amp; military transition programs: UTA portability supports career pivots.</w:t>
      </w:r>
    </w:p>
    <w:p w14:paraId="2B12587C" w14:textId="77777777" w:rsidR="004818A5" w:rsidRDefault="00000000">
      <w:pPr>
        <w:pStyle w:val="Heading1"/>
      </w:pPr>
      <w:r>
        <w:t>Appendix I. Simple Q&amp;A (For Policymakers &amp; Press)</w:t>
      </w:r>
    </w:p>
    <w:p w14:paraId="79D9502E" w14:textId="77777777" w:rsidR="004818A5" w:rsidRDefault="00000000">
      <w:r>
        <w:t>Q: Will this take my working‑class job?</w:t>
      </w:r>
    </w:p>
    <w:p w14:paraId="2F81974F" w14:textId="3D6BA3D9" w:rsidR="004818A5" w:rsidRDefault="00000000">
      <w:r>
        <w:t>A: No. The Accord steers automation toward corporate overhead (planning, procurement, scheduling, compliance) — not frontline roles. It rewards companies for raising frontline pay and for visible consumer rebates, making investment in people more attractive than cuts.</w:t>
      </w:r>
    </w:p>
    <w:p w14:paraId="04D174C3" w14:textId="77777777" w:rsidR="001D15B3" w:rsidRDefault="001D15B3"/>
    <w:p w14:paraId="70AC4ED0" w14:textId="77777777" w:rsidR="001D15B3" w:rsidRDefault="00000000">
      <w:r>
        <w:t>Q: How do Universal Transition Accounts (UTAs) work?</w:t>
      </w:r>
    </w:p>
    <w:p w14:paraId="36BC08B6" w14:textId="1D5877CD" w:rsidR="004818A5" w:rsidRDefault="00000000">
      <w:r>
        <w:lastRenderedPageBreak/>
        <w:t>A: Every worker gets a portable account funded by a small levy on large corporations. You can use it for wage insurance (up to two years), retraining/credentials, a healthcare bridge, and seed capital to start a business. It follows you from job to job.</w:t>
      </w:r>
    </w:p>
    <w:p w14:paraId="5737772A" w14:textId="77777777" w:rsidR="001D15B3" w:rsidRDefault="001D15B3"/>
    <w:p w14:paraId="66A6ECFB" w14:textId="4F42F82B" w:rsidR="004818A5" w:rsidRDefault="00000000">
      <w:r>
        <w:t>Q: Is this a tax hike on job creators?</w:t>
      </w:r>
    </w:p>
    <w:p w14:paraId="659FC499" w14:textId="65F8BF39" w:rsidR="004818A5" w:rsidRDefault="00000000">
      <w:r>
        <w:t xml:space="preserve">A: It’s a modest stability contribution for the largest corporations, paired with powerful tax credits for sharing savings via wages, rebates, profit‑sharing, or UTA top‑ups. Firms that share more can offset much of the levy; those that </w:t>
      </w:r>
      <w:proofErr w:type="gramStart"/>
      <w:r>
        <w:t>don’t</w:t>
      </w:r>
      <w:proofErr w:type="gramEnd"/>
      <w:r>
        <w:t xml:space="preserve"> simply pay the standard rate.</w:t>
      </w:r>
    </w:p>
    <w:p w14:paraId="2CBFA5A8" w14:textId="77777777" w:rsidR="001D15B3" w:rsidRDefault="001D15B3"/>
    <w:p w14:paraId="3D460264" w14:textId="6EF0F3A3" w:rsidR="004818A5" w:rsidRDefault="00000000">
      <w:r>
        <w:t>Q: Why should businesses participate?</w:t>
      </w:r>
    </w:p>
    <w:p w14:paraId="5D8E2880" w14:textId="12CCE00D" w:rsidR="004818A5" w:rsidRDefault="00000000">
      <w:r>
        <w:t xml:space="preserve">A: AI adoption is inevitable. Participating earns tax relief for sharing, strengthens brand trust, reduces labor/regulatory risk, and provides a predictable framework — a strategic hedge against future, harsher mandates. </w:t>
      </w:r>
      <w:proofErr w:type="gramStart"/>
      <w:r>
        <w:t>It’s</w:t>
      </w:r>
      <w:proofErr w:type="gramEnd"/>
      <w:r>
        <w:t xml:space="preserve"> financially sound and pro‑market.</w:t>
      </w:r>
    </w:p>
    <w:p w14:paraId="4154D80B" w14:textId="77777777" w:rsidR="001D15B3" w:rsidRDefault="001D15B3"/>
    <w:p w14:paraId="31B4A791" w14:textId="58BC0D3E" w:rsidR="004818A5" w:rsidRDefault="00000000">
      <w:r>
        <w:t>Q: What about displaced office workers?</w:t>
      </w:r>
    </w:p>
    <w:p w14:paraId="7A8D432F" w14:textId="77777777" w:rsidR="004818A5" w:rsidRDefault="00000000">
      <w:r>
        <w:t>A: They receive the same UTA support as everyone plus prestige paths: lead AI transition teams, move into AI operations/governance, or launch SMBs using startup grants. Wage insurance and train‑to‑hire cohorts shorten unemployment spells.</w:t>
      </w:r>
    </w:p>
    <w:p w14:paraId="1857564A" w14:textId="77777777" w:rsidR="004818A5" w:rsidRDefault="004818A5"/>
    <w:p w14:paraId="6996243B" w14:textId="77777777" w:rsidR="004818A5" w:rsidRDefault="00000000">
      <w:r>
        <w:t>Q: Is the technology ready?</w:t>
      </w:r>
    </w:p>
    <w:p w14:paraId="3FF8D2FC" w14:textId="77777777" w:rsidR="004818A5" w:rsidRDefault="00000000">
      <w:r>
        <w:t>A: Yes. The stack relies on mature tools (workflow automation, LLM copilots, finance/HR integrations). The constraint is change management, not feasibility. Pilots focus on low‑risk automations first, then scale.</w:t>
      </w:r>
    </w:p>
    <w:p w14:paraId="47C2E86F" w14:textId="77777777" w:rsidR="004818A5" w:rsidRDefault="004818A5"/>
    <w:p w14:paraId="1B5BD0D4" w14:textId="77777777" w:rsidR="004818A5" w:rsidRDefault="00000000">
      <w:r>
        <w:t>Q: How is this funded and is it fiscally responsible?</w:t>
      </w:r>
    </w:p>
    <w:p w14:paraId="2C671B13" w14:textId="77777777" w:rsidR="004818A5" w:rsidRDefault="00000000">
      <w:r>
        <w:t>A: A 0.50–0.55% levy on large corporate receipts (or AI‑compute alternative) funds UTAs. Credits are capped (≤50% of CIT liability). The ‘auto‑tune’ rule adjusts rates or caps if the rolling 4‑quarter balance turns negative. Net effect: neutral to modest surplus.</w:t>
      </w:r>
    </w:p>
    <w:p w14:paraId="0A867B60" w14:textId="77777777" w:rsidR="004818A5" w:rsidRDefault="004818A5"/>
    <w:p w14:paraId="6437D2B0" w14:textId="77777777" w:rsidR="004818A5" w:rsidRDefault="00000000">
      <w:r>
        <w:t>Q: What do people see in practice?</w:t>
      </w:r>
    </w:p>
    <w:p w14:paraId="4C9A8859" w14:textId="77777777" w:rsidR="004818A5" w:rsidRDefault="00000000">
      <w:r>
        <w:lastRenderedPageBreak/>
        <w:t>A: Receipts can show an “Efficiency Rebate.” Paychecks can show an “Efficiency Bonus.” These visible line‑items prove savings are shared with households and workers.</w:t>
      </w:r>
    </w:p>
    <w:p w14:paraId="5F6D9313" w14:textId="77777777" w:rsidR="004818A5" w:rsidRDefault="004818A5"/>
    <w:p w14:paraId="3D347A4E" w14:textId="77777777" w:rsidR="00E664F6" w:rsidRDefault="00E664F6"/>
    <w:p w14:paraId="692A02BE" w14:textId="77777777" w:rsidR="00E664F6" w:rsidRDefault="00E664F6"/>
    <w:p w14:paraId="321F65F0" w14:textId="77777777" w:rsidR="00E664F6" w:rsidRDefault="00E664F6"/>
    <w:p w14:paraId="0FB609D1" w14:textId="77777777" w:rsidR="00E664F6" w:rsidRDefault="00E664F6" w:rsidP="00E664F6">
      <w:pPr>
        <w:pStyle w:val="Title"/>
      </w:pPr>
      <w:r>
        <w:t>High‑Road Business Coalition for the AROA Humanitarian Dividend</w:t>
      </w:r>
    </w:p>
    <w:p w14:paraId="55A34335" w14:textId="77777777" w:rsidR="00E664F6" w:rsidRDefault="00E664F6" w:rsidP="00E664F6">
      <w:r>
        <w:rPr>
          <w:b/>
          <w:i/>
        </w:rPr>
        <w:t xml:space="preserve">You </w:t>
      </w:r>
      <w:proofErr w:type="gramStart"/>
      <w:r>
        <w:rPr>
          <w:b/>
          <w:i/>
        </w:rPr>
        <w:t>can’t</w:t>
      </w:r>
      <w:proofErr w:type="gramEnd"/>
      <w:r>
        <w:rPr>
          <w:b/>
          <w:i/>
        </w:rPr>
        <w:t xml:space="preserve"> be a leader if you leave someone behind.</w:t>
      </w:r>
    </w:p>
    <w:p w14:paraId="73562F81" w14:textId="77777777" w:rsidR="00E664F6" w:rsidRDefault="00E664F6" w:rsidP="00E664F6">
      <w:pPr>
        <w:pStyle w:val="Heading1"/>
      </w:pPr>
      <w:r>
        <w:t>Purpose</w:t>
      </w:r>
    </w:p>
    <w:p w14:paraId="4C694D3E" w14:textId="77777777" w:rsidR="00E664F6" w:rsidRDefault="00E664F6" w:rsidP="00E664F6">
      <w:r>
        <w:t>To unite early‑adopter companies that commit to sharing AI efficiency gains with society’s most vulnerable—while meeting the core AROA obligations to consumers and workers—through a voluntary 1% Humanitarian Dividend (0.5% domestic / 0.5% global).</w:t>
      </w:r>
    </w:p>
    <w:p w14:paraId="7EC51438" w14:textId="77777777" w:rsidR="00E664F6" w:rsidRDefault="00E664F6" w:rsidP="00E664F6">
      <w:pPr>
        <w:pStyle w:val="Heading1"/>
      </w:pPr>
      <w:r>
        <w:t>Guiding Principles</w:t>
      </w:r>
    </w:p>
    <w:p w14:paraId="69A59A3C" w14:textId="77777777" w:rsidR="00E664F6" w:rsidRDefault="00E664F6" w:rsidP="00E664F6">
      <w:pPr>
        <w:pStyle w:val="ListBullet"/>
        <w:tabs>
          <w:tab w:val="num" w:pos="360"/>
        </w:tabs>
        <w:ind w:left="360" w:hanging="360"/>
      </w:pPr>
      <w:r>
        <w:t>Additionality: Humanitarian Dividend is above and beyond core AROA requirements and existing CSR commitments.</w:t>
      </w:r>
    </w:p>
    <w:p w14:paraId="111ACD3C" w14:textId="77777777" w:rsidR="00E664F6" w:rsidRDefault="00E664F6" w:rsidP="00E664F6">
      <w:pPr>
        <w:pStyle w:val="ListBullet"/>
        <w:tabs>
          <w:tab w:val="num" w:pos="360"/>
        </w:tabs>
        <w:ind w:left="360" w:hanging="360"/>
      </w:pPr>
      <w:r>
        <w:t>Transparency: Outcomes are public, comparable, and independently assured.</w:t>
      </w:r>
    </w:p>
    <w:p w14:paraId="4C403DAE" w14:textId="77777777" w:rsidR="00E664F6" w:rsidRDefault="00E664F6" w:rsidP="00E664F6">
      <w:pPr>
        <w:pStyle w:val="ListBullet"/>
        <w:tabs>
          <w:tab w:val="num" w:pos="360"/>
        </w:tabs>
        <w:ind w:left="360" w:hanging="360"/>
      </w:pPr>
      <w:r>
        <w:t>Neutrality: Non‑political, needs‑based allocations using vetted providers.</w:t>
      </w:r>
    </w:p>
    <w:p w14:paraId="578B0F9B" w14:textId="77777777" w:rsidR="00E664F6" w:rsidRDefault="00E664F6" w:rsidP="00E664F6">
      <w:pPr>
        <w:pStyle w:val="ListBullet"/>
        <w:tabs>
          <w:tab w:val="num" w:pos="360"/>
        </w:tabs>
        <w:ind w:left="360" w:hanging="360"/>
      </w:pPr>
      <w:r>
        <w:t>Dignity: Aid is delivered to maximize human outcomes with minimal friction.</w:t>
      </w:r>
    </w:p>
    <w:p w14:paraId="0CE28D85" w14:textId="77777777" w:rsidR="00E664F6" w:rsidRDefault="00E664F6" w:rsidP="00E664F6">
      <w:pPr>
        <w:pStyle w:val="Heading1"/>
      </w:pPr>
      <w:r>
        <w:t>Core Commitments (Membership Requirements)</w:t>
      </w:r>
    </w:p>
    <w:p w14:paraId="6A5BE37B" w14:textId="77777777" w:rsidR="00E664F6" w:rsidRDefault="00E664F6" w:rsidP="00E664F6">
      <w:pPr>
        <w:pStyle w:val="ListBullet"/>
        <w:tabs>
          <w:tab w:val="num" w:pos="360"/>
        </w:tabs>
        <w:ind w:left="360" w:hanging="360"/>
      </w:pPr>
      <w:r>
        <w:t>Meet AROA ‘share‑the‑gains’ threshold: visible Efficiency Rebates on receipts and Efficiency Bonuses on paychecks; union‑neutrality and reporting as applicable.</w:t>
      </w:r>
    </w:p>
    <w:p w14:paraId="6232E06A" w14:textId="77777777" w:rsidR="00E664F6" w:rsidRDefault="00E664F6" w:rsidP="00E664F6">
      <w:pPr>
        <w:pStyle w:val="ListBullet"/>
        <w:tabs>
          <w:tab w:val="num" w:pos="360"/>
        </w:tabs>
        <w:ind w:left="360" w:hanging="360"/>
      </w:pPr>
      <w:r>
        <w:t>Fund the 1% Humanitarian Dividend (split 50/50 domestic/global) using an approved measurement method or the fixed‑proxy option (see Measurement Framework).</w:t>
      </w:r>
    </w:p>
    <w:p w14:paraId="54D83094" w14:textId="77777777" w:rsidR="00E664F6" w:rsidRDefault="00E664F6" w:rsidP="00E664F6">
      <w:pPr>
        <w:pStyle w:val="ListBullet"/>
        <w:tabs>
          <w:tab w:val="num" w:pos="360"/>
        </w:tabs>
        <w:ind w:left="360" w:hanging="360"/>
      </w:pPr>
      <w:r>
        <w:t>Adhere to Guardrails: pass‑through minimums, activation rules, non‑substitution, recipient transparency, and third‑party assurance.</w:t>
      </w:r>
    </w:p>
    <w:p w14:paraId="04CC7117" w14:textId="77777777" w:rsidR="00E664F6" w:rsidRDefault="00E664F6" w:rsidP="00E664F6">
      <w:pPr>
        <w:pStyle w:val="ListBullet"/>
        <w:tabs>
          <w:tab w:val="num" w:pos="360"/>
        </w:tabs>
        <w:ind w:left="360" w:hanging="360"/>
      </w:pPr>
      <w:r>
        <w:t>Publish outcomes quarterly on a public dashboard; submit to annual independent verification.</w:t>
      </w:r>
    </w:p>
    <w:p w14:paraId="321B323C" w14:textId="77777777" w:rsidR="00E664F6" w:rsidRDefault="00E664F6" w:rsidP="00E664F6">
      <w:pPr>
        <w:pStyle w:val="Heading1"/>
      </w:pPr>
      <w:r>
        <w:lastRenderedPageBreak/>
        <w:t>Guardrails (Anti‑Greenwashing &amp; Integrity)</w:t>
      </w:r>
    </w:p>
    <w:p w14:paraId="5862E816" w14:textId="77777777" w:rsidR="00E664F6" w:rsidRDefault="00E664F6" w:rsidP="00E664F6">
      <w:pPr>
        <w:pStyle w:val="ListBullet"/>
        <w:tabs>
          <w:tab w:val="num" w:pos="360"/>
        </w:tabs>
        <w:ind w:left="360" w:hanging="360"/>
      </w:pPr>
      <w:r>
        <w:t>No ‘cherry‑pick’: Coalition certification requires active participation in core AROA credits (wage increases, rebates, UTAs).</w:t>
      </w:r>
    </w:p>
    <w:p w14:paraId="656E67FC" w14:textId="77777777" w:rsidR="00E664F6" w:rsidRDefault="00E664F6" w:rsidP="00E664F6">
      <w:pPr>
        <w:pStyle w:val="ListBullet"/>
        <w:tabs>
          <w:tab w:val="num" w:pos="360"/>
        </w:tabs>
        <w:ind w:left="360" w:hanging="360"/>
      </w:pPr>
      <w:r>
        <w:t>Pass‑through floors: Global ≥90% program/commodities/cash‑transfer; Domestic admin caps aligned with top‑quartile Housing First providers.</w:t>
      </w:r>
    </w:p>
    <w:p w14:paraId="57982023" w14:textId="77777777" w:rsidR="00E664F6" w:rsidRDefault="00E664F6" w:rsidP="00E664F6">
      <w:pPr>
        <w:pStyle w:val="ListBullet"/>
        <w:tabs>
          <w:tab w:val="num" w:pos="360"/>
        </w:tabs>
        <w:ind w:left="360" w:hanging="360"/>
      </w:pPr>
      <w:r>
        <w:t>Activation rule (global): prioritize UN L3 emergencies; if access is denied, reallocate to next eligible crisis until access resumes.</w:t>
      </w:r>
    </w:p>
    <w:p w14:paraId="0215C6A5" w14:textId="77777777" w:rsidR="00E664F6" w:rsidRDefault="00E664F6" w:rsidP="00E664F6">
      <w:pPr>
        <w:pStyle w:val="ListBullet"/>
        <w:tabs>
          <w:tab w:val="num" w:pos="360"/>
        </w:tabs>
        <w:ind w:left="360" w:hanging="360"/>
      </w:pPr>
      <w:r>
        <w:t>Non‑substitution: Humanitarian Dividend is additive to existing CSR/humanitarian lines; no offset against severance or compliance budgets.</w:t>
      </w:r>
    </w:p>
    <w:p w14:paraId="187258F2" w14:textId="77777777" w:rsidR="00E664F6" w:rsidRDefault="00E664F6" w:rsidP="00E664F6">
      <w:pPr>
        <w:pStyle w:val="ListBullet"/>
        <w:tabs>
          <w:tab w:val="num" w:pos="360"/>
        </w:tabs>
        <w:ind w:left="360" w:hanging="360"/>
      </w:pPr>
      <w:r>
        <w:t>Conflict‑of‑interest: disclose affiliated charities; independent committee approves grants.</w:t>
      </w:r>
    </w:p>
    <w:p w14:paraId="75CB0DCF" w14:textId="77777777" w:rsidR="00E664F6" w:rsidRDefault="00E664F6" w:rsidP="00E664F6">
      <w:pPr>
        <w:pStyle w:val="ListBullet"/>
        <w:tabs>
          <w:tab w:val="num" w:pos="360"/>
        </w:tabs>
        <w:ind w:left="360" w:hanging="360"/>
      </w:pPr>
      <w:r>
        <w:t>Decertification: failure to meet commitments triggers 90‑day cure; then public delisting.</w:t>
      </w:r>
    </w:p>
    <w:p w14:paraId="09DDC380" w14:textId="77777777" w:rsidR="00E664F6" w:rsidRDefault="00E664F6" w:rsidP="00E664F6">
      <w:pPr>
        <w:pStyle w:val="Heading1"/>
      </w:pPr>
      <w:r>
        <w:t>Membership Tiers (Certification)</w:t>
      </w:r>
    </w:p>
    <w:tbl>
      <w:tblPr>
        <w:tblStyle w:val="TableGrid"/>
        <w:tblW w:w="0" w:type="auto"/>
        <w:tblLook w:val="04A0" w:firstRow="1" w:lastRow="0" w:firstColumn="1" w:lastColumn="0" w:noHBand="0" w:noVBand="1"/>
      </w:tblPr>
      <w:tblGrid>
        <w:gridCol w:w="2160"/>
        <w:gridCol w:w="2160"/>
        <w:gridCol w:w="2160"/>
        <w:gridCol w:w="2160"/>
      </w:tblGrid>
      <w:tr w:rsidR="00E664F6" w14:paraId="2A457B5E" w14:textId="77777777" w:rsidTr="0073030C">
        <w:tc>
          <w:tcPr>
            <w:tcW w:w="2160" w:type="dxa"/>
          </w:tcPr>
          <w:p w14:paraId="1BA1BE60" w14:textId="77777777" w:rsidR="00E664F6" w:rsidRDefault="00E664F6" w:rsidP="0073030C">
            <w:r>
              <w:t>Tier</w:t>
            </w:r>
          </w:p>
        </w:tc>
        <w:tc>
          <w:tcPr>
            <w:tcW w:w="2160" w:type="dxa"/>
          </w:tcPr>
          <w:p w14:paraId="2711172F" w14:textId="77777777" w:rsidR="00E664F6" w:rsidRDefault="00E664F6" w:rsidP="0073030C">
            <w:r>
              <w:t>Humanitarian Dividend</w:t>
            </w:r>
          </w:p>
        </w:tc>
        <w:tc>
          <w:tcPr>
            <w:tcW w:w="2160" w:type="dxa"/>
          </w:tcPr>
          <w:p w14:paraId="55B3234A" w14:textId="77777777" w:rsidR="00E664F6" w:rsidRDefault="00E664F6" w:rsidP="0073030C">
            <w:r>
              <w:t>Transparency</w:t>
            </w:r>
          </w:p>
        </w:tc>
        <w:tc>
          <w:tcPr>
            <w:tcW w:w="2160" w:type="dxa"/>
          </w:tcPr>
          <w:p w14:paraId="545DB715" w14:textId="77777777" w:rsidR="00E664F6" w:rsidRDefault="00E664F6" w:rsidP="0073030C">
            <w:r>
              <w:t>Impact Benchmarks (illustrative)</w:t>
            </w:r>
          </w:p>
        </w:tc>
      </w:tr>
      <w:tr w:rsidR="00E664F6" w14:paraId="1FF998FA" w14:textId="77777777" w:rsidTr="0073030C">
        <w:tc>
          <w:tcPr>
            <w:tcW w:w="2160" w:type="dxa"/>
          </w:tcPr>
          <w:p w14:paraId="469A9DB7" w14:textId="77777777" w:rsidR="00E664F6" w:rsidRDefault="00E664F6" w:rsidP="0073030C">
            <w:r>
              <w:t>Bronze</w:t>
            </w:r>
          </w:p>
        </w:tc>
        <w:tc>
          <w:tcPr>
            <w:tcW w:w="2160" w:type="dxa"/>
          </w:tcPr>
          <w:p w14:paraId="34A143C8" w14:textId="77777777" w:rsidR="00E664F6" w:rsidRDefault="00E664F6" w:rsidP="0073030C">
            <w:r>
              <w:t>1.0% with Fixed‑Proxy or Method A/B</w:t>
            </w:r>
          </w:p>
        </w:tc>
        <w:tc>
          <w:tcPr>
            <w:tcW w:w="2160" w:type="dxa"/>
          </w:tcPr>
          <w:p w14:paraId="29B22261" w14:textId="77777777" w:rsidR="00E664F6" w:rsidRDefault="00E664F6" w:rsidP="0073030C">
            <w:r>
              <w:t>Quarterly KPI dashboard</w:t>
            </w:r>
          </w:p>
        </w:tc>
        <w:tc>
          <w:tcPr>
            <w:tcW w:w="2160" w:type="dxa"/>
          </w:tcPr>
          <w:p w14:paraId="31DDAB19" w14:textId="77777777" w:rsidR="00E664F6" w:rsidRDefault="00E664F6" w:rsidP="0073030C">
            <w:r>
              <w:t>Domestic: ≥10k HH/yr; Global: ≥10M person‑weeks</w:t>
            </w:r>
          </w:p>
        </w:tc>
      </w:tr>
      <w:tr w:rsidR="00E664F6" w14:paraId="7C0A9A20" w14:textId="77777777" w:rsidTr="0073030C">
        <w:tc>
          <w:tcPr>
            <w:tcW w:w="2160" w:type="dxa"/>
          </w:tcPr>
          <w:p w14:paraId="456E7FD1" w14:textId="77777777" w:rsidR="00E664F6" w:rsidRDefault="00E664F6" w:rsidP="0073030C">
            <w:r>
              <w:t>Silver</w:t>
            </w:r>
          </w:p>
        </w:tc>
        <w:tc>
          <w:tcPr>
            <w:tcW w:w="2160" w:type="dxa"/>
          </w:tcPr>
          <w:p w14:paraId="3B2A5C54" w14:textId="77777777" w:rsidR="00E664F6" w:rsidRDefault="00E664F6" w:rsidP="0073030C">
            <w:r>
              <w:t>1.0% + ≥0.25% optional uplift</w:t>
            </w:r>
          </w:p>
        </w:tc>
        <w:tc>
          <w:tcPr>
            <w:tcW w:w="2160" w:type="dxa"/>
          </w:tcPr>
          <w:p w14:paraId="6324CF77" w14:textId="77777777" w:rsidR="00E664F6" w:rsidRDefault="00E664F6" w:rsidP="0073030C">
            <w:r>
              <w:t>Quarterly + supplier list</w:t>
            </w:r>
          </w:p>
        </w:tc>
        <w:tc>
          <w:tcPr>
            <w:tcW w:w="2160" w:type="dxa"/>
          </w:tcPr>
          <w:p w14:paraId="1637F6FA" w14:textId="77777777" w:rsidR="00E664F6" w:rsidRDefault="00E664F6" w:rsidP="0073030C">
            <w:r>
              <w:t>Domestic: ≥20k HH/yr; Global: ≥20M person‑weeks</w:t>
            </w:r>
          </w:p>
        </w:tc>
      </w:tr>
      <w:tr w:rsidR="00E664F6" w14:paraId="2DEE272C" w14:textId="77777777" w:rsidTr="0073030C">
        <w:tc>
          <w:tcPr>
            <w:tcW w:w="2160" w:type="dxa"/>
          </w:tcPr>
          <w:p w14:paraId="3DC7BE81" w14:textId="77777777" w:rsidR="00E664F6" w:rsidRDefault="00E664F6" w:rsidP="0073030C">
            <w:r>
              <w:t>Gold</w:t>
            </w:r>
          </w:p>
        </w:tc>
        <w:tc>
          <w:tcPr>
            <w:tcW w:w="2160" w:type="dxa"/>
          </w:tcPr>
          <w:p w14:paraId="32E41E86" w14:textId="77777777" w:rsidR="00E664F6" w:rsidRDefault="00E664F6" w:rsidP="0073030C">
            <w:r>
              <w:t>≥1.5% total</w:t>
            </w:r>
          </w:p>
        </w:tc>
        <w:tc>
          <w:tcPr>
            <w:tcW w:w="2160" w:type="dxa"/>
          </w:tcPr>
          <w:p w14:paraId="7473D557" w14:textId="77777777" w:rsidR="00E664F6" w:rsidRDefault="00E664F6" w:rsidP="0073030C">
            <w:r>
              <w:t>Quarterly + third‑party microdata</w:t>
            </w:r>
          </w:p>
        </w:tc>
        <w:tc>
          <w:tcPr>
            <w:tcW w:w="2160" w:type="dxa"/>
          </w:tcPr>
          <w:p w14:paraId="1ACC6291" w14:textId="77777777" w:rsidR="00E664F6" w:rsidRDefault="00E664F6" w:rsidP="0073030C">
            <w:r>
              <w:t>Domestic: ≥35k HH/yr; Global: ≥35M person‑weeks</w:t>
            </w:r>
          </w:p>
        </w:tc>
      </w:tr>
    </w:tbl>
    <w:p w14:paraId="24619C4D" w14:textId="77777777" w:rsidR="00E664F6" w:rsidRDefault="00E664F6" w:rsidP="00E664F6">
      <w:pPr>
        <w:pStyle w:val="Heading1"/>
      </w:pPr>
      <w:r>
        <w:t>Governance</w:t>
      </w:r>
    </w:p>
    <w:p w14:paraId="4FB5FD3B" w14:textId="77777777" w:rsidR="00E664F6" w:rsidRDefault="00E664F6" w:rsidP="00E664F6">
      <w:pPr>
        <w:pStyle w:val="ListBullet"/>
        <w:tabs>
          <w:tab w:val="num" w:pos="360"/>
        </w:tabs>
        <w:ind w:left="360" w:hanging="360"/>
      </w:pPr>
      <w:r>
        <w:t>Independent Advisory Board (labor, consumer, humanitarian, investor, academic).</w:t>
      </w:r>
    </w:p>
    <w:p w14:paraId="13C0904F" w14:textId="77777777" w:rsidR="00E664F6" w:rsidRDefault="00E664F6" w:rsidP="00E664F6">
      <w:pPr>
        <w:pStyle w:val="ListBullet"/>
        <w:tabs>
          <w:tab w:val="num" w:pos="360"/>
        </w:tabs>
        <w:ind w:left="360" w:hanging="360"/>
      </w:pPr>
      <w:r>
        <w:t>Annual methodology updates; public comment period for changes.</w:t>
      </w:r>
    </w:p>
    <w:p w14:paraId="5D6CF24D" w14:textId="77777777" w:rsidR="00E664F6" w:rsidRDefault="00E664F6" w:rsidP="00E664F6">
      <w:pPr>
        <w:pStyle w:val="ListBullet"/>
        <w:tabs>
          <w:tab w:val="num" w:pos="360"/>
        </w:tabs>
        <w:ind w:left="360" w:hanging="360"/>
      </w:pPr>
      <w:r>
        <w:t>Complaint channel with 30‑day triage and published resolutions.</w:t>
      </w:r>
    </w:p>
    <w:p w14:paraId="37985861" w14:textId="77777777" w:rsidR="00E664F6" w:rsidRDefault="00E664F6" w:rsidP="00E664F6">
      <w:pPr>
        <w:pStyle w:val="Heading1"/>
      </w:pPr>
      <w:r>
        <w:t>KPI Dashboard (Minimums)</w:t>
      </w:r>
    </w:p>
    <w:p w14:paraId="6A8343FF" w14:textId="77777777" w:rsidR="00E664F6" w:rsidRDefault="00E664F6" w:rsidP="00E664F6">
      <w:pPr>
        <w:pStyle w:val="ListBullet"/>
        <w:tabs>
          <w:tab w:val="num" w:pos="360"/>
        </w:tabs>
        <w:ind w:left="360" w:hanging="360"/>
      </w:pPr>
      <w:r>
        <w:t>Domestic: households rehoused (RRH/PSH mix), nights indoors, retention at 12 months.</w:t>
      </w:r>
    </w:p>
    <w:p w14:paraId="48D487C5" w14:textId="77777777" w:rsidR="00E664F6" w:rsidRDefault="00E664F6" w:rsidP="00E664F6">
      <w:pPr>
        <w:pStyle w:val="ListBullet"/>
        <w:tabs>
          <w:tab w:val="num" w:pos="360"/>
        </w:tabs>
        <w:ind w:left="360" w:hanging="360"/>
      </w:pPr>
      <w:r>
        <w:t>Global: person‑weeks of food/cash assistance, geographic coverage, delivery timeliness.</w:t>
      </w:r>
    </w:p>
    <w:p w14:paraId="1C696D41" w14:textId="77777777" w:rsidR="00E664F6" w:rsidRDefault="00E664F6" w:rsidP="00E664F6">
      <w:pPr>
        <w:pStyle w:val="ListBullet"/>
        <w:tabs>
          <w:tab w:val="num" w:pos="360"/>
        </w:tabs>
        <w:ind w:left="360" w:hanging="360"/>
      </w:pPr>
      <w:r>
        <w:t>Finance: dollars committed/disbursed, admin ratios, unspent balances.</w:t>
      </w:r>
    </w:p>
    <w:p w14:paraId="1391248B" w14:textId="77777777" w:rsidR="00E664F6" w:rsidRDefault="00E664F6" w:rsidP="00E664F6">
      <w:pPr>
        <w:pStyle w:val="ListBullet"/>
        <w:tabs>
          <w:tab w:val="num" w:pos="360"/>
        </w:tabs>
        <w:ind w:left="360" w:hanging="360"/>
      </w:pPr>
      <w:r>
        <w:t>Equity: distribution across high‑need geographies; accessibility metrics.</w:t>
      </w:r>
    </w:p>
    <w:p w14:paraId="1A9D3F88" w14:textId="77777777" w:rsidR="00E664F6" w:rsidRDefault="00E664F6"/>
    <w:p w14:paraId="60DEBFD6" w14:textId="77777777" w:rsidR="00E664F6" w:rsidRDefault="00E664F6"/>
    <w:p w14:paraId="62E78741" w14:textId="77777777" w:rsidR="00E664F6" w:rsidRDefault="00E664F6" w:rsidP="00E664F6">
      <w:pPr>
        <w:pStyle w:val="Title"/>
      </w:pPr>
      <w:r>
        <w:lastRenderedPageBreak/>
        <w:t>Measurement &amp; Assurance Framework — High‑Road Business Coalition</w:t>
      </w:r>
    </w:p>
    <w:p w14:paraId="673CA97E" w14:textId="77777777" w:rsidR="00E664F6" w:rsidRDefault="00E664F6" w:rsidP="00E664F6">
      <w:pPr>
        <w:pStyle w:val="Heading1"/>
      </w:pPr>
      <w:r>
        <w:t>Objective</w:t>
      </w:r>
    </w:p>
    <w:p w14:paraId="1D3F41A9" w14:textId="77777777" w:rsidR="00E664F6" w:rsidRDefault="00E664F6" w:rsidP="00E664F6">
      <w:r>
        <w:t>Provide simple, auditable ways to size the 1% Humanitarian Dividend without re‑introducing fragile ‘AI savings’ micro‑audits.</w:t>
      </w:r>
    </w:p>
    <w:p w14:paraId="1EC69FAD" w14:textId="77777777" w:rsidR="00E664F6" w:rsidRDefault="00E664F6" w:rsidP="00E664F6">
      <w:pPr>
        <w:pStyle w:val="Heading1"/>
      </w:pPr>
      <w:r>
        <w:t>Contribution Sizing: Three Options</w:t>
      </w:r>
    </w:p>
    <w:p w14:paraId="44E87AED" w14:textId="77777777" w:rsidR="00E664F6" w:rsidRDefault="00E664F6" w:rsidP="00E664F6">
      <w:r>
        <w:t>Members may choose one of the following methods and keep it consistent for three years (with safe‑harbor).</w:t>
      </w:r>
    </w:p>
    <w:p w14:paraId="25C0B017" w14:textId="77777777" w:rsidR="00E664F6" w:rsidRDefault="00E664F6" w:rsidP="00E664F6">
      <w:pPr>
        <w:pStyle w:val="Heading2"/>
      </w:pPr>
      <w:r>
        <w:t>Fixed‑Proxy (Default — Easiest)</w:t>
      </w:r>
    </w:p>
    <w:p w14:paraId="6C301B99" w14:textId="77777777" w:rsidR="00E664F6" w:rsidRDefault="00E664F6" w:rsidP="00E664F6">
      <w:pPr>
        <w:pStyle w:val="ListBullet"/>
        <w:tabs>
          <w:tab w:val="num" w:pos="360"/>
        </w:tabs>
        <w:ind w:left="360" w:hanging="360"/>
      </w:pPr>
      <w:r>
        <w:t>Amount = the greater of (a) 5% of claimed AROA tax credits, or (b) 0.05% of consolidated revenue.</w:t>
      </w:r>
    </w:p>
    <w:p w14:paraId="0C9FB419" w14:textId="77777777" w:rsidR="00E664F6" w:rsidRDefault="00E664F6" w:rsidP="00E664F6">
      <w:pPr>
        <w:pStyle w:val="ListBullet"/>
        <w:tabs>
          <w:tab w:val="num" w:pos="360"/>
        </w:tabs>
        <w:ind w:left="360" w:hanging="360"/>
      </w:pPr>
      <w:r>
        <w:t>Rationale: ties to verified filings (credits), and a tiny revenue proxy for firms without credits yet.</w:t>
      </w:r>
    </w:p>
    <w:p w14:paraId="65CCCBC4" w14:textId="77777777" w:rsidR="00E664F6" w:rsidRDefault="00E664F6" w:rsidP="00E664F6">
      <w:pPr>
        <w:pStyle w:val="ListBullet"/>
        <w:tabs>
          <w:tab w:val="num" w:pos="360"/>
        </w:tabs>
        <w:ind w:left="360" w:hanging="360"/>
      </w:pPr>
      <w:r>
        <w:t>Safe‑harbor: no need to quantify AI‑specific savings.</w:t>
      </w:r>
    </w:p>
    <w:p w14:paraId="7CB2103E" w14:textId="77777777" w:rsidR="00E664F6" w:rsidRDefault="00E664F6" w:rsidP="00E664F6">
      <w:pPr>
        <w:pStyle w:val="Heading2"/>
      </w:pPr>
      <w:r>
        <w:t>Method A — Savings Proxy via Output Metrics</w:t>
      </w:r>
    </w:p>
    <w:p w14:paraId="562605E5" w14:textId="77777777" w:rsidR="00E664F6" w:rsidRDefault="00E664F6" w:rsidP="00E664F6">
      <w:pPr>
        <w:pStyle w:val="ListBullet"/>
        <w:tabs>
          <w:tab w:val="num" w:pos="360"/>
        </w:tabs>
        <w:ind w:left="360" w:hanging="360"/>
      </w:pPr>
      <w:r>
        <w:t>Compute hours automated × standardized fully‑loaded rate (by function/region) × realization factor (e.g., 0.5).</w:t>
      </w:r>
    </w:p>
    <w:p w14:paraId="0BBD0746" w14:textId="77777777" w:rsidR="00E664F6" w:rsidRDefault="00E664F6" w:rsidP="00E664F6">
      <w:pPr>
        <w:pStyle w:val="ListBullet"/>
        <w:tabs>
          <w:tab w:val="num" w:pos="360"/>
        </w:tabs>
        <w:ind w:left="360" w:hanging="360"/>
      </w:pPr>
      <w:r>
        <w:t>Use conservative, published rate tables provided by the Coalition; third‑party attestation annually.</w:t>
      </w:r>
    </w:p>
    <w:p w14:paraId="6DCCBD2D" w14:textId="77777777" w:rsidR="00E664F6" w:rsidRDefault="00E664F6" w:rsidP="00E664F6">
      <w:pPr>
        <w:pStyle w:val="Heading2"/>
      </w:pPr>
      <w:r>
        <w:t>Method B — Finance‑Derived Proxy</w:t>
      </w:r>
    </w:p>
    <w:p w14:paraId="628262C1" w14:textId="77777777" w:rsidR="00E664F6" w:rsidRDefault="00E664F6" w:rsidP="00E664F6">
      <w:pPr>
        <w:pStyle w:val="ListBullet"/>
        <w:tabs>
          <w:tab w:val="num" w:pos="360"/>
        </w:tabs>
        <w:ind w:left="360" w:hanging="360"/>
      </w:pPr>
      <w:r>
        <w:t>G&amp;A run‑rate reduction vs. pre‑AI baseline, excluding headcount freezes and non‑AI items; apply 1% to delta.</w:t>
      </w:r>
    </w:p>
    <w:p w14:paraId="3F13663F" w14:textId="77777777" w:rsidR="00E664F6" w:rsidRDefault="00E664F6" w:rsidP="00E664F6">
      <w:pPr>
        <w:pStyle w:val="ListBullet"/>
        <w:tabs>
          <w:tab w:val="num" w:pos="360"/>
        </w:tabs>
        <w:ind w:left="360" w:hanging="360"/>
      </w:pPr>
      <w:r>
        <w:t>Requires CFO sign‑off and independent assurance.</w:t>
      </w:r>
    </w:p>
    <w:p w14:paraId="66465A72" w14:textId="77777777" w:rsidR="00E664F6" w:rsidRDefault="00E664F6" w:rsidP="00E664F6">
      <w:pPr>
        <w:pStyle w:val="Heading1"/>
      </w:pPr>
      <w:r>
        <w:t>Verification &amp; Reporting</w:t>
      </w:r>
    </w:p>
    <w:p w14:paraId="3408C645" w14:textId="77777777" w:rsidR="00E664F6" w:rsidRDefault="00E664F6" w:rsidP="00E664F6">
      <w:pPr>
        <w:pStyle w:val="ListBullet"/>
        <w:tabs>
          <w:tab w:val="num" w:pos="360"/>
        </w:tabs>
        <w:ind w:left="360" w:hanging="360"/>
      </w:pPr>
      <w:r>
        <w:t>Quarterly self‑report with standard templates; annual independent assurance (limited assurance acceptable Year 1).</w:t>
      </w:r>
    </w:p>
    <w:p w14:paraId="4FAB0C66" w14:textId="77777777" w:rsidR="00E664F6" w:rsidRDefault="00E664F6" w:rsidP="00E664F6">
      <w:pPr>
        <w:pStyle w:val="ListBullet"/>
        <w:tabs>
          <w:tab w:val="num" w:pos="360"/>
        </w:tabs>
        <w:ind w:left="360" w:hanging="360"/>
      </w:pPr>
      <w:r>
        <w:t>Recipient transparency: list of grantees/providers, amounts, and outcomes.</w:t>
      </w:r>
    </w:p>
    <w:p w14:paraId="70077BE5" w14:textId="77777777" w:rsidR="00E664F6" w:rsidRDefault="00E664F6" w:rsidP="00E664F6">
      <w:pPr>
        <w:pStyle w:val="ListBullet"/>
        <w:tabs>
          <w:tab w:val="num" w:pos="360"/>
        </w:tabs>
        <w:ind w:left="360" w:hanging="360"/>
      </w:pPr>
      <w:r>
        <w:t>Non‑substitution test: prior‑three‑year average CSR/humanitarian spend must be maintained (or explain variance).</w:t>
      </w:r>
    </w:p>
    <w:p w14:paraId="6A28EE09" w14:textId="77777777" w:rsidR="00E664F6" w:rsidRDefault="00E664F6" w:rsidP="00E664F6">
      <w:pPr>
        <w:pStyle w:val="Heading1"/>
      </w:pPr>
      <w:r>
        <w:lastRenderedPageBreak/>
        <w:t>Data &amp; Privacy</w:t>
      </w:r>
    </w:p>
    <w:p w14:paraId="3F40B433" w14:textId="77777777" w:rsidR="00E664F6" w:rsidRDefault="00E664F6" w:rsidP="00E664F6">
      <w:pPr>
        <w:pStyle w:val="ListBullet"/>
        <w:tabs>
          <w:tab w:val="num" w:pos="360"/>
        </w:tabs>
        <w:ind w:left="360" w:hanging="360"/>
      </w:pPr>
      <w:r>
        <w:t>Use aggregated/anonymous data for dashboards; sensitive payroll/ops data stays with the assurer under NDA.</w:t>
      </w:r>
    </w:p>
    <w:p w14:paraId="304DD5B4" w14:textId="77777777" w:rsidR="00E664F6" w:rsidRDefault="00E664F6" w:rsidP="00E664F6">
      <w:pPr>
        <w:pStyle w:val="ListBullet"/>
        <w:tabs>
          <w:tab w:val="num" w:pos="360"/>
        </w:tabs>
        <w:ind w:left="360" w:hanging="360"/>
      </w:pPr>
      <w:r>
        <w:t>Data retention policy: 7 years for assurance trail.</w:t>
      </w:r>
    </w:p>
    <w:p w14:paraId="350C37AD" w14:textId="77777777" w:rsidR="00E664F6" w:rsidRDefault="00E664F6" w:rsidP="00E664F6">
      <w:pPr>
        <w:pStyle w:val="Heading1"/>
      </w:pPr>
      <w:r>
        <w:t>Change Control</w:t>
      </w:r>
    </w:p>
    <w:p w14:paraId="30C0C728" w14:textId="77777777" w:rsidR="00E664F6" w:rsidRDefault="00E664F6" w:rsidP="00E664F6">
      <w:pPr>
        <w:pStyle w:val="ListBullet"/>
        <w:tabs>
          <w:tab w:val="num" w:pos="360"/>
        </w:tabs>
        <w:ind w:left="360" w:hanging="360"/>
      </w:pPr>
      <w:r>
        <w:t>Any methodology change requires Advisory Board approval and 90‑day public notice.</w:t>
      </w:r>
    </w:p>
    <w:p w14:paraId="2A1AA656" w14:textId="77777777" w:rsidR="00E664F6" w:rsidRDefault="00E664F6"/>
    <w:p w14:paraId="56182E2B" w14:textId="77777777" w:rsidR="00E664F6" w:rsidRDefault="00E664F6"/>
    <w:p w14:paraId="1579836B" w14:textId="77777777" w:rsidR="00E664F6" w:rsidRDefault="00E664F6"/>
    <w:p w14:paraId="093ABBDE" w14:textId="77777777" w:rsidR="00E664F6" w:rsidRDefault="00E664F6"/>
    <w:p w14:paraId="6E4A8216" w14:textId="77777777" w:rsidR="00E664F6" w:rsidRDefault="00E664F6"/>
    <w:p w14:paraId="72CAC908" w14:textId="77777777" w:rsidR="00E664F6" w:rsidRDefault="00E664F6"/>
    <w:p w14:paraId="56016307" w14:textId="77777777" w:rsidR="00E664F6" w:rsidRDefault="00E664F6"/>
    <w:p w14:paraId="6C9046B5" w14:textId="77777777" w:rsidR="00E664F6" w:rsidRDefault="00E664F6"/>
    <w:sectPr w:rsidR="00E664F6">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2163A" w14:textId="77777777" w:rsidR="009F39EC" w:rsidRDefault="009F39EC" w:rsidP="001D15B3">
      <w:pPr>
        <w:spacing w:after="0"/>
      </w:pPr>
      <w:r>
        <w:separator/>
      </w:r>
    </w:p>
  </w:endnote>
  <w:endnote w:type="continuationSeparator" w:id="0">
    <w:p w14:paraId="27BB0210" w14:textId="77777777" w:rsidR="009F39EC" w:rsidRDefault="009F39EC" w:rsidP="001D15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F8FBE" w14:textId="77777777" w:rsidR="009F39EC" w:rsidRDefault="009F39EC" w:rsidP="001D15B3">
      <w:pPr>
        <w:spacing w:after="0"/>
      </w:pPr>
      <w:r>
        <w:separator/>
      </w:r>
    </w:p>
  </w:footnote>
  <w:footnote w:type="continuationSeparator" w:id="0">
    <w:p w14:paraId="2B0E71E6" w14:textId="77777777" w:rsidR="009F39EC" w:rsidRDefault="009F39EC" w:rsidP="001D15B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3D60F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A990"/>
    <w:multiLevelType w:val="multilevel"/>
    <w:tmpl w:val="F474862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2" w15:restartNumberingAfterBreak="0">
    <w:nsid w:val="0000A991"/>
    <w:multiLevelType w:val="multilevel"/>
    <w:tmpl w:val="E44A6BB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3" w15:restartNumberingAfterBreak="0">
    <w:nsid w:val="00A99421"/>
    <w:multiLevelType w:val="multilevel"/>
    <w:tmpl w:val="D660CC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456143507">
    <w:abstractNumId w:val="1"/>
  </w:num>
  <w:num w:numId="2" w16cid:durableId="1503932121">
    <w:abstractNumId w:val="2"/>
  </w:num>
  <w:num w:numId="3" w16cid:durableId="90199625">
    <w:abstractNumId w:val="2"/>
  </w:num>
  <w:num w:numId="4" w16cid:durableId="1759129399">
    <w:abstractNumId w:val="2"/>
  </w:num>
  <w:num w:numId="5" w16cid:durableId="21347852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0518990">
    <w:abstractNumId w:val="2"/>
  </w:num>
  <w:num w:numId="7" w16cid:durableId="363601374">
    <w:abstractNumId w:val="2"/>
  </w:num>
  <w:num w:numId="8" w16cid:durableId="1464689999">
    <w:abstractNumId w:val="2"/>
  </w:num>
  <w:num w:numId="9" w16cid:durableId="1588998462">
    <w:abstractNumId w:val="2"/>
  </w:num>
  <w:num w:numId="10" w16cid:durableId="151992137">
    <w:abstractNumId w:val="2"/>
  </w:num>
  <w:num w:numId="11" w16cid:durableId="1398936808">
    <w:abstractNumId w:val="2"/>
  </w:num>
  <w:num w:numId="12" w16cid:durableId="1682078079">
    <w:abstractNumId w:val="2"/>
  </w:num>
  <w:num w:numId="13" w16cid:durableId="16153701">
    <w:abstractNumId w:val="2"/>
  </w:num>
  <w:num w:numId="14" w16cid:durableId="916132095">
    <w:abstractNumId w:val="2"/>
  </w:num>
  <w:num w:numId="15" w16cid:durableId="473761083">
    <w:abstractNumId w:val="2"/>
  </w:num>
  <w:num w:numId="16" w16cid:durableId="2026134679">
    <w:abstractNumId w:val="2"/>
  </w:num>
  <w:num w:numId="17" w16cid:durableId="1747728383">
    <w:abstractNumId w:val="2"/>
  </w:num>
  <w:num w:numId="18" w16cid:durableId="235289131">
    <w:abstractNumId w:val="2"/>
  </w:num>
  <w:num w:numId="19" w16cid:durableId="1115296700">
    <w:abstractNumId w:val="2"/>
  </w:num>
  <w:num w:numId="20" w16cid:durableId="1115322744">
    <w:abstractNumId w:val="2"/>
  </w:num>
  <w:num w:numId="21" w16cid:durableId="255409423">
    <w:abstractNumId w:val="2"/>
  </w:num>
  <w:num w:numId="22" w16cid:durableId="1802723976">
    <w:abstractNumId w:val="2"/>
  </w:num>
  <w:num w:numId="23" w16cid:durableId="302126690">
    <w:abstractNumId w:val="2"/>
  </w:num>
  <w:num w:numId="24" w16cid:durableId="1507792231">
    <w:abstractNumId w:val="2"/>
  </w:num>
  <w:num w:numId="25" w16cid:durableId="432677708">
    <w:abstractNumId w:val="2"/>
  </w:num>
  <w:num w:numId="26" w16cid:durableId="1547788588">
    <w:abstractNumId w:val="2"/>
  </w:num>
  <w:num w:numId="27" w16cid:durableId="29916025">
    <w:abstractNumId w:val="2"/>
  </w:num>
  <w:num w:numId="28" w16cid:durableId="603344887">
    <w:abstractNumId w:val="2"/>
  </w:num>
  <w:num w:numId="29" w16cid:durableId="1942299148">
    <w:abstractNumId w:val="2"/>
  </w:num>
  <w:num w:numId="30" w16cid:durableId="62871528">
    <w:abstractNumId w:val="2"/>
  </w:num>
  <w:num w:numId="31" w16cid:durableId="1562862345">
    <w:abstractNumId w:val="2"/>
  </w:num>
  <w:num w:numId="32" w16cid:durableId="649333795">
    <w:abstractNumId w:val="2"/>
  </w:num>
  <w:num w:numId="33" w16cid:durableId="53085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18A5"/>
    <w:rsid w:val="00115B74"/>
    <w:rsid w:val="001D15B3"/>
    <w:rsid w:val="003A75B1"/>
    <w:rsid w:val="004818A5"/>
    <w:rsid w:val="00666C07"/>
    <w:rsid w:val="006C3716"/>
    <w:rsid w:val="0085674E"/>
    <w:rsid w:val="009F39EC"/>
    <w:rsid w:val="00CF2791"/>
    <w:rsid w:val="00D314A3"/>
    <w:rsid w:val="00E66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E0988"/>
  <w15:docId w15:val="{4AFBD82A-5DA0-42FF-8DC0-8A72DDBC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List Bulle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1D15B3"/>
    <w:pPr>
      <w:tabs>
        <w:tab w:val="center" w:pos="4680"/>
        <w:tab w:val="right" w:pos="9360"/>
      </w:tabs>
      <w:spacing w:after="0"/>
    </w:pPr>
  </w:style>
  <w:style w:type="character" w:customStyle="1" w:styleId="HeaderChar">
    <w:name w:val="Header Char"/>
    <w:basedOn w:val="DefaultParagraphFont"/>
    <w:link w:val="Header"/>
    <w:rsid w:val="001D15B3"/>
  </w:style>
  <w:style w:type="paragraph" w:styleId="Footer">
    <w:name w:val="footer"/>
    <w:basedOn w:val="Normal"/>
    <w:link w:val="FooterChar"/>
    <w:rsid w:val="001D15B3"/>
    <w:pPr>
      <w:tabs>
        <w:tab w:val="center" w:pos="4680"/>
        <w:tab w:val="right" w:pos="9360"/>
      </w:tabs>
      <w:spacing w:after="0"/>
    </w:pPr>
  </w:style>
  <w:style w:type="character" w:customStyle="1" w:styleId="FooterChar">
    <w:name w:val="Footer Char"/>
    <w:basedOn w:val="DefaultParagraphFont"/>
    <w:link w:val="Footer"/>
    <w:rsid w:val="001D15B3"/>
  </w:style>
  <w:style w:type="paragraph" w:styleId="ListBullet">
    <w:name w:val="List Bullet"/>
    <w:basedOn w:val="Normal"/>
    <w:uiPriority w:val="99"/>
    <w:unhideWhenUsed/>
    <w:rsid w:val="00E664F6"/>
    <w:pPr>
      <w:numPr>
        <w:numId w:val="33"/>
      </w:numPr>
      <w:tabs>
        <w:tab w:val="clear" w:pos="360"/>
      </w:tabs>
      <w:spacing w:line="276" w:lineRule="auto"/>
      <w:ind w:left="0" w:firstLine="0"/>
      <w:contextualSpacing/>
    </w:pPr>
    <w:rPr>
      <w:rFonts w:eastAsiaTheme="minorEastAsia"/>
      <w:sz w:val="22"/>
      <w:szCs w:val="22"/>
    </w:rPr>
  </w:style>
  <w:style w:type="table" w:styleId="TableGrid">
    <w:name w:val="Table Grid"/>
    <w:basedOn w:val="TableNormal"/>
    <w:uiPriority w:val="59"/>
    <w:rsid w:val="00E664F6"/>
    <w:pPr>
      <w:spacing w:after="0"/>
    </w:pPr>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5262</Words>
  <Characters>30000</Characters>
  <Application>Microsoft Office Word</Application>
  <DocSecurity>0</DocSecurity>
  <Lines>250</Lines>
  <Paragraphs>70</Paragraphs>
  <ScaleCrop>false</ScaleCrop>
  <Company/>
  <LinksUpToDate>false</LinksUpToDate>
  <CharactersWithSpaces>35192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Zachary Fisher</dc:creator>
  <cp:keywords/>
  <cp:lastModifiedBy>Zachary Fisher</cp:lastModifiedBy>
  <cp:revision>2</cp:revision>
  <dcterms:created xsi:type="dcterms:W3CDTF">2025-10-16T00:15:00Z</dcterms:created>
  <dcterms:modified xsi:type="dcterms:W3CDTF">2025-10-16T00:15:00Z</dcterms:modified>
</cp:coreProperties>
</file>